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B55" w:rsidRPr="00430B55" w:rsidRDefault="00430B55" w:rsidP="00430B55">
      <w:pPr>
        <w:jc w:val="center"/>
        <w:rPr>
          <w:rFonts w:ascii="Times New Roman" w:hAnsi="Times New Roman" w:cs="Times New Roman"/>
          <w:sz w:val="32"/>
          <w:szCs w:val="32"/>
        </w:rPr>
      </w:pPr>
      <w:r w:rsidRPr="00430B55">
        <w:rPr>
          <w:rFonts w:ascii="Times New Roman" w:hAnsi="Times New Roman" w:cs="Times New Roman"/>
          <w:sz w:val="32"/>
          <w:szCs w:val="32"/>
        </w:rPr>
        <w:t>UNG THƯ VÚ</w:t>
      </w:r>
      <w:bookmarkStart w:id="0" w:name="_GoBack"/>
      <w:bookmarkEnd w:id="0"/>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1. ĐẠI CƯƠNG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Ung thư vú là loại ung thư  phổ biến nhất ở phụ nữ nhiều nước trên thế giới. Ở Mỹ vào năm 2008 có 184.450 trường hợp mới mắc và 40.930 phụ nữ chết vì căn bệnh này. Tại Việt Nam, theo thống kê giai đoạn 2001 - 2004, tỷ lệ nắc ung thư  vú các tỉnh phía Bắc là 19,6/100.000 dân, đứng đầu trong các loại ung thư  ở nữ và ở các tỉnh phía Nam là 16,3/100.000 đứng hàng thứ hai sau ung thư  cổ tử cung.</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Trong các yếu tố nguy cơ gây ung thư  vú, yếu tố nổi bật nhất là tiền sử gia đình có người mắc ung thư  vú, đặc biệt trong gia đình có từ 2 người mắc ung thư  vú trở lên ở lứa tuổi trẻ. Người ta cũng tìm thấy sự liên quan giữa đột biến gen ức chế u BRCA-1 và BRCA-2 nằm trên nhiễm sắc thể 17 và 13 với ung thư  vú, ung thư  buồng trứng và một số loại ung thư  khác. Một số yếu tố khác bao gồm: có kinh lần đầu tiên sớm, sinh con đầu lòng muộn và bệnh vú lành tính cũng là các yếu tố tăng nguy cơ mắc ung thư  vú. Ở nam giới chiếm dưới 1% trong tổng số bệnh nhân mắc căn bệnh này.</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Các phương pháp sàng lọc phát hiện sớm ung thư  vú bằng tự khám vú hàng tháng, khám thầy thuốc định kỳ sau tuổi 30 và đặc biệt là chụp X-quang tuyến vú có vai trò rất quan trọng trong giảm tỷ lệ chết do ung thư  vú.</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Cho tới nay, việc nghiên cứu điều trị căn bệnh này vẫn đang được tiếp tục và ngày càng hoàn thiện. Điều trị ung thư  vú là sự phối hợp điển hình giữa phương pháp điều trị tại chỗ (phẫu thuật, xạ trị) và toàn thân (hóa trị, nội tiết, miễn dịch) cùng với thay đổi quan niệm ung thư  vú không phải là bệnh tại chỗ mà là bệnh toàn thân, các phương pháp điều trị hệ thống ngày càng được áp dụng rộng rãi và đóng vai trò quan trọng trong điều trị ung thư  vú.</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2. LÂM SÀNG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Triệu chứng lâm sàng của ung thư vú rất đa dạng.</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 Khối u ở vú: Khoảng 90% triệu chứng đầu tiên của bệnh ung thư vú là có khối u.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 Thay đổi da trên vị trí khối u: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lastRenderedPageBreak/>
        <w:t xml:space="preserve">dính da, co rút da có dạng dính như “ lúm đồng tiền”. Khi khối u phát triển lớn có thể xuất hiện nổi tĩnh mạch dưới da. Khối u xâm lấn ra ngoài da gây sần da cam, gây loét chảy máu.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 Thay đổi hình dạng núm vú: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Khi khối u ở gần núm vú có thể gây tụt núm vú, lệch núm vú. Một số trường hợp ung thư vú gây loét núm vú.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 Chảy dịch đầu vú: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Ung thư vú đôi khi gây chảy dịch đầu vú.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 Hạch nách sưng to: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Giai đoạn đầu hạch nách thường nhỏ mềm khó phát hiện trên lâm sàng. Giai đoạn muộn hạch nách to, cứng chắc đôi khi dính nhau, dính tổ chức xung quanh nên di động hạn chế.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 Đau vùng vú: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Dấm dứt không thường xuyên.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 - Biểu hiện ung thư vú giai đoạn cuối: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Ung thư vú giai đoạn cuối, tại chỗ có thể xâm lấn gây lở loét, hoại tử ra ngoài da gây chảy dịch, mùi hôi thối, xâm lấn thành ngực gây đau nhiều. Có thể di căn hạch nách, hạch thượng đòn, xương, não, phổi, gan gây gầy sút mệt mỏi, đau nhiều, khó thở, liệt,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3. CẬN LÂM SÀNG</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3.1. Chụp X quang tuyến vú (mammography): là phương pháp hữu hiệu với độ chính xác từ 80-90%. Cần chụp cả vú đối bên để phát hiện các tổn thương nếu có.</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Các hình ảnh ung thư vú trên phim: đám mờ bờ không đều với đuôi sao, co kéo tổ chức xung quanh, vi lắng đọng canxi.</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3.2. Siêu âm tuyến vú: có hiệu quả với một số trường hợp mật độ tuyến vú dày và cũng giúp phân biệt các tổn thương đặc với tổn thương nang.</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lastRenderedPageBreak/>
        <w:t>3.3. Tế bào học: chọc hút khối u, hạch nách bằng kim nhỏ hoặc lấy dịch tiết núm vú tìm tế bào ác tính.</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3.4. Sinh thiết: Một số trường hợp sinh thiết kim giúp thầy thuốc có mô bệnh học trước điều trị. Đối với tổn thương nghi ngờ trên X quang vú, có thể sinh thiết định vị dưới hướng dẫn của chẩn đoán hình ảnh. Đối với các trường hợp nghi ngờ, có thể sinh thiết mở, kết quả mô bệnh học có thể được trả lời tức thì (sinh thiết tức thì) hoặc sau 48h.</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3.5. Mô bệnh học: Xét nghiệm mô bệnh học có thể từ bệnh phẩm sinh thiết. Tuy vậy thông tin về bệnh học đầy đủ thường có sau khi phẫu thuật với mô vú có u và hạch nách được vét. Với các phương pháp nhuộm thông thường có thể phân loại được các thể mô bệnh học, độ mô học (hệ thống xếp độ Scarff-Bloom-Richardon có sửa đổi theo Elston-Ellis hiện được sử dụng rộng rãi). Với phương pháp nhuộm hóa mô miễn dịch có thể xác định tình trạng thụ thể nội tiết (estrogen receptor-ER và progesteron receptor-PR), mức độ bộc lộ Her-2/neu và Ki-67.</w:t>
      </w:r>
    </w:p>
    <w:p w:rsidR="00430B55" w:rsidRPr="00430B55" w:rsidRDefault="00430B55" w:rsidP="00430B55">
      <w:pPr>
        <w:rPr>
          <w:rFonts w:ascii="Times New Roman" w:hAnsi="Times New Roman" w:cs="Times New Roman"/>
          <w:sz w:val="28"/>
          <w:szCs w:val="28"/>
        </w:rPr>
      </w:pP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3.6. Chụp X quang ngực: phát hiện di căn phổi, màng phổi</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3.7. Siêu âm ổ bụng: phát hiện di căn gan</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3.8. Chụp cắt lớp vi tính ngực, bụng: phát hiện các tổn thương di căn</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3.9. Chụp xạ hình xương: chỉ làm khi nghi ngờ di căn xương hoặc tăng phosphatase kiềm.</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3.10. Chất chỉ điểm u CA 153: có giá trị trong theo dõi về sau.</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3.11. Các xét nghiệm khác:</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Phosphatase kiềm, canxi máu tăng trong di căn xương</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Phản ứng lai tại chỗ huỳnh quang (fluorescene in situ hybridization- FISH) xác định khuyếch đại gen HER-2/neu nếu cơ sở có điều kiện. Được chỉ định khi nhuôm hóa mô miễn dich kết quả HER-2/neu (++). Nếu FISH (+) thì khẳng định có bộc lộ quá mức HER-2/neu.</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lastRenderedPageBreak/>
        <w:t xml:space="preserve"> Các xét nghiệm thường quy đánh giá chức năng các cơ quan trước khi điều trị phẫu thuật, xạ trị hoặc điều trị hóa chất.</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4. CHẨN ĐOÁN</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4.1. Chẩn đoán xác định:</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Giải phẫu bệnh được coi như “ một tiêu chuẩn vàng “ trong chẩn đoán ung thư. Tuy nhiên, có 3 phương pháp kinh điển có tính chất định hướng giúp chẩn đoán ung thư vú, đó là: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Lâm sàng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Tế bào học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Chụp X quang tuyến vú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       Nếu một trong 3 yếu tố này còn nghi ngờ thì phải sinh thiết tức thì để chẩn đoán xác định. Ngoài ra, có thể áp dụng các phương pháp khác như: sinh thiết 48 giờ (sinh thiết kim, sinh thiết mở), chụp vú kĩ thuật số, chụp cộng hưởng từ hạt nhân,… được áp dụng cho từng trường hợp.</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4.2. Chẩn đoán phân biệt</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 U xơ tuyến vú: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Thường gặp ở phụ nữ trẻ. U thường tròn nhẵn, ranh giới rõ ràng, di động. Để chẩn đoán phân biệt, nên cho chụp X- quang tuyến vú, làm xét nghiệm tế bào khối u tuyến vú.</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 - Viêm xơ tuyến vú nang hoá: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Có thể gặp một nang đơn độc hay nhiều nang nhỏ rải rác cả hai bên tuyến vú. Kích thước có thể to từ vài mm đến 10 cm. Khi khám có cảm giác căng, phải chẩn đoán phân biệt nhờ vào siêu âm.</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 Viêm giãn tuyễn vú: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Chảy dịch đầu vú dai dẳng, lúc đầu là dịch vàng trong sau đó có thể bội nhiễm thành dịch vàng mủ hoặc chất bã có mùi hôi, một số khác chảy dịch máu. Để chẩn </w:t>
      </w:r>
      <w:r w:rsidRPr="00430B55">
        <w:rPr>
          <w:rFonts w:ascii="Times New Roman" w:hAnsi="Times New Roman" w:cs="Times New Roman"/>
          <w:sz w:val="28"/>
          <w:szCs w:val="28"/>
        </w:rPr>
        <w:lastRenderedPageBreak/>
        <w:t>đoán phân biệt có thể chỉ định chụp X quang tuyến sữa, làm xét nghiệm tế bào dịch tiết núm vú.</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 Áp xe tuyến vú: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Có triệu chứng sưng, nóng, đỏ, đau. Điều trị khỏi bằng thuốc kháng sinh, chống viêm.</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 Nang sữa: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Hình thành sau quá trình viêm tắc ống dẫn sữa (thường sau quá trình nuôi con bằng sữa mẹ), nang sữa có thể lỏng nhưng có thể đặc sền sệt. Chẩn đoán phân biệt bằng siêu âm, xét nghiệm tế bào tuyến nang.</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 U nhú nội ống: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Là những tổn thương trong lòng ống dẫn sữa, thường gặp ở những ống dẫn sữa chính. Tính chất u tròn, mềm có thể gây chảy dịch, máu qua núm vú.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U mỡ hoặc hoại tử mỡ ở vú: Hiếm gặp</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U phyloide lành tuyến vú: Chẩn đoán phân biệt bằng xét nghiệm tế bào, đôi khi phải bằng mô bệnh học.</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Bệnh Mondor,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4.3. Chẩn đoán giai đoạn</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Xếp giai đoạn TNM theo Hiệp hội Phòng chống Ung thư Quốc tế (UICC) 2010.</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T: u nguyên phát</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Tx: Không xác định được u nguyên phát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To: Không có dấu hiệu về u nguyên phát</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Tis: Ung thư biểu mô tại chỗ / không xâm nhập (thuỳ,ống, bệnh Paget)</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T1: Đường kính lớn nhất  ≤ 2 cm</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T1 Vi thể: U có đường kính lớn nhất </w:t>
      </w:r>
      <w:r w:rsidRPr="00430B55">
        <w:rPr>
          <w:rFonts w:ascii="Times New Roman" w:hAnsi="Times New Roman" w:cs="Times New Roman"/>
          <w:sz w:val="28"/>
          <w:szCs w:val="28"/>
        </w:rPr>
        <w:t> 0,1</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T1mic: Vi xâm nhập nhỏ hơn hoặc bằng 0,1 cm</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lastRenderedPageBreak/>
        <w:t xml:space="preserve">T1a: 0,1 cm &lt;U </w:t>
      </w:r>
      <w:r w:rsidRPr="00430B55">
        <w:rPr>
          <w:rFonts w:ascii="Times New Roman" w:hAnsi="Times New Roman" w:cs="Times New Roman"/>
          <w:sz w:val="28"/>
          <w:szCs w:val="28"/>
        </w:rPr>
        <w:t> 0,5 cm</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T1b: 0,5 cm &lt;U </w:t>
      </w:r>
      <w:r w:rsidRPr="00430B55">
        <w:rPr>
          <w:rFonts w:ascii="Times New Roman" w:hAnsi="Times New Roman" w:cs="Times New Roman"/>
          <w:sz w:val="28"/>
          <w:szCs w:val="28"/>
        </w:rPr>
        <w:t> 1cm</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T1c: 1 cm &lt;U </w:t>
      </w:r>
      <w:r w:rsidRPr="00430B55">
        <w:rPr>
          <w:rFonts w:ascii="Times New Roman" w:hAnsi="Times New Roman" w:cs="Times New Roman"/>
          <w:sz w:val="28"/>
          <w:szCs w:val="28"/>
        </w:rPr>
        <w:t> 2 cm</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T2: Đường kính lớn nhất &gt; 2cm, </w:t>
      </w:r>
      <w:r w:rsidRPr="00430B55">
        <w:rPr>
          <w:rFonts w:ascii="Times New Roman" w:hAnsi="Times New Roman" w:cs="Times New Roman"/>
          <w:sz w:val="28"/>
          <w:szCs w:val="28"/>
        </w:rPr>
        <w:t>5 cm</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T3: Đường kính lớn nhất &gt;5cm</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T4: Khối u bất kỳ kích thước nhưng có xâm lấn thành ngực hoặc da gồm</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ab/>
        <w:t>. T4a: U xâm lấn thành ngực</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ab/>
        <w:t>. T4b: U xâm lấn da bao gồm sần da cam hoặc loét da vú hoặc nhiều khối u dạng vệ tinh ở da</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ab/>
        <w:t>. T4c: Bao gồm T4a và T4b nhưng giới hạn ở một bên vú</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(Thành ngực bao gồm xương sườn cơ liên sườn và cơ răng trước không tính cơ ngực lớn).</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ab/>
        <w:t xml:space="preserve">. T4d: Ung thư vú thể viêm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N: Hạch vùng</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Nx: Không xác định được hạch vùng</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No: Không có di căn hạch vùng</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N1: Di căn hạch nách cùng bên di động</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N2: Di căn hạch nách cùng bên dính hoặc cố định hoặc di căn hạch vú trong ro ràng trên lâm sàng mà không có biểu hiện hạch nách trên lâm sàng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N3: Di căn hạch hạ đòn cùng bên hoặc di căn hạch vú trong cùng bên rõ trên lâm sàng kèm theo di căn hạch nách trên lâm sàng hoặc di căn hạch thượng đòn cùng bên có hoặc không kèm theo di căn hạch vú trong.</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M: Di căn xa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Mx: Không xác định được di căn xa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lastRenderedPageBreak/>
        <w:t xml:space="preserve">Mo: Không có di căn xa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M1: Di căn xa bao gồm cả di căn tới hạch bạch huyết thượng đòn vùng bên.</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  </w:t>
      </w:r>
      <w:r w:rsidRPr="00430B55">
        <w:rPr>
          <w:rFonts w:ascii="Times New Roman" w:hAnsi="Times New Roman" w:cs="Times New Roman"/>
          <w:sz w:val="28"/>
          <w:szCs w:val="28"/>
        </w:rPr>
        <w:tab/>
        <w:t>Trên thực tế lâm sàng, nhất là trong nghiên cứu khoa học, các nhà khoa học hay áp dụng T và N sau phẫu thuật (pT, pN = post operated) khi đã có kết quả chính xác của giải phẫu bệnh để đánh giá chính xác mức độ xâm lấn tổ chức ung thư.</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Giai đoạn</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Giai đoạn</w:t>
      </w:r>
      <w:r w:rsidRPr="00430B55">
        <w:rPr>
          <w:rFonts w:ascii="Times New Roman" w:hAnsi="Times New Roman" w:cs="Times New Roman"/>
          <w:sz w:val="28"/>
          <w:szCs w:val="28"/>
        </w:rPr>
        <w:tab/>
      </w:r>
      <w:r w:rsidRPr="00430B55">
        <w:rPr>
          <w:rFonts w:ascii="Times New Roman" w:hAnsi="Times New Roman" w:cs="Times New Roman"/>
          <w:sz w:val="28"/>
          <w:szCs w:val="28"/>
        </w:rPr>
        <w:tab/>
        <w:t>U</w:t>
      </w:r>
      <w:r w:rsidRPr="00430B55">
        <w:rPr>
          <w:rFonts w:ascii="Times New Roman" w:hAnsi="Times New Roman" w:cs="Times New Roman"/>
          <w:sz w:val="28"/>
          <w:szCs w:val="28"/>
        </w:rPr>
        <w:tab/>
        <w:t xml:space="preserve">     Hạch vùng</w:t>
      </w:r>
      <w:r w:rsidRPr="00430B55">
        <w:rPr>
          <w:rFonts w:ascii="Times New Roman" w:hAnsi="Times New Roman" w:cs="Times New Roman"/>
          <w:sz w:val="28"/>
          <w:szCs w:val="28"/>
        </w:rPr>
        <w:tab/>
        <w:t xml:space="preserve">     Di căn xa</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0 </w:t>
      </w:r>
      <w:r w:rsidRPr="00430B55">
        <w:rPr>
          <w:rFonts w:ascii="Times New Roman" w:hAnsi="Times New Roman" w:cs="Times New Roman"/>
          <w:sz w:val="28"/>
          <w:szCs w:val="28"/>
        </w:rPr>
        <w:tab/>
      </w:r>
      <w:r w:rsidRPr="00430B55">
        <w:rPr>
          <w:rFonts w:ascii="Times New Roman" w:hAnsi="Times New Roman" w:cs="Times New Roman"/>
          <w:sz w:val="28"/>
          <w:szCs w:val="28"/>
        </w:rPr>
        <w:tab/>
        <w:t>Tis</w:t>
      </w:r>
      <w:r w:rsidRPr="00430B55">
        <w:rPr>
          <w:rFonts w:ascii="Times New Roman" w:hAnsi="Times New Roman" w:cs="Times New Roman"/>
          <w:sz w:val="28"/>
          <w:szCs w:val="28"/>
        </w:rPr>
        <w:tab/>
      </w:r>
      <w:r w:rsidRPr="00430B55">
        <w:rPr>
          <w:rFonts w:ascii="Times New Roman" w:hAnsi="Times New Roman" w:cs="Times New Roman"/>
          <w:sz w:val="28"/>
          <w:szCs w:val="28"/>
        </w:rPr>
        <w:tab/>
        <w:t>N0</w:t>
      </w:r>
      <w:r w:rsidRPr="00430B55">
        <w:rPr>
          <w:rFonts w:ascii="Times New Roman" w:hAnsi="Times New Roman" w:cs="Times New Roman"/>
          <w:sz w:val="28"/>
          <w:szCs w:val="28"/>
        </w:rPr>
        <w:tab/>
      </w:r>
      <w:r w:rsidRPr="00430B55">
        <w:rPr>
          <w:rFonts w:ascii="Times New Roman" w:hAnsi="Times New Roman" w:cs="Times New Roman"/>
          <w:sz w:val="28"/>
          <w:szCs w:val="28"/>
        </w:rPr>
        <w:tab/>
      </w:r>
      <w:r w:rsidRPr="00430B55">
        <w:rPr>
          <w:rFonts w:ascii="Times New Roman" w:hAnsi="Times New Roman" w:cs="Times New Roman"/>
          <w:sz w:val="28"/>
          <w:szCs w:val="28"/>
        </w:rPr>
        <w:tab/>
        <w:t>M0</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IA</w:t>
      </w:r>
      <w:r w:rsidRPr="00430B55">
        <w:rPr>
          <w:rFonts w:ascii="Times New Roman" w:hAnsi="Times New Roman" w:cs="Times New Roman"/>
          <w:sz w:val="28"/>
          <w:szCs w:val="28"/>
        </w:rPr>
        <w:tab/>
      </w:r>
      <w:r w:rsidRPr="00430B55">
        <w:rPr>
          <w:rFonts w:ascii="Times New Roman" w:hAnsi="Times New Roman" w:cs="Times New Roman"/>
          <w:sz w:val="28"/>
          <w:szCs w:val="28"/>
        </w:rPr>
        <w:tab/>
        <w:t xml:space="preserve">T1 </w:t>
      </w:r>
      <w:r w:rsidRPr="00430B55">
        <w:rPr>
          <w:rFonts w:ascii="Times New Roman" w:hAnsi="Times New Roman" w:cs="Times New Roman"/>
          <w:sz w:val="28"/>
          <w:szCs w:val="28"/>
        </w:rPr>
        <w:tab/>
      </w:r>
      <w:r w:rsidRPr="00430B55">
        <w:rPr>
          <w:rFonts w:ascii="Times New Roman" w:hAnsi="Times New Roman" w:cs="Times New Roman"/>
          <w:sz w:val="28"/>
          <w:szCs w:val="28"/>
        </w:rPr>
        <w:tab/>
        <w:t>N0</w:t>
      </w:r>
      <w:r w:rsidRPr="00430B55">
        <w:rPr>
          <w:rFonts w:ascii="Times New Roman" w:hAnsi="Times New Roman" w:cs="Times New Roman"/>
          <w:sz w:val="28"/>
          <w:szCs w:val="28"/>
        </w:rPr>
        <w:tab/>
      </w:r>
      <w:r w:rsidRPr="00430B55">
        <w:rPr>
          <w:rFonts w:ascii="Times New Roman" w:hAnsi="Times New Roman" w:cs="Times New Roman"/>
          <w:sz w:val="28"/>
          <w:szCs w:val="28"/>
        </w:rPr>
        <w:tab/>
      </w:r>
      <w:r w:rsidRPr="00430B55">
        <w:rPr>
          <w:rFonts w:ascii="Times New Roman" w:hAnsi="Times New Roman" w:cs="Times New Roman"/>
          <w:sz w:val="28"/>
          <w:szCs w:val="28"/>
        </w:rPr>
        <w:tab/>
        <w:t>M0</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IB </w:t>
      </w:r>
      <w:r w:rsidRPr="00430B55">
        <w:rPr>
          <w:rFonts w:ascii="Times New Roman" w:hAnsi="Times New Roman" w:cs="Times New Roman"/>
          <w:sz w:val="28"/>
          <w:szCs w:val="28"/>
        </w:rPr>
        <w:tab/>
      </w:r>
      <w:r w:rsidRPr="00430B55">
        <w:rPr>
          <w:rFonts w:ascii="Times New Roman" w:hAnsi="Times New Roman" w:cs="Times New Roman"/>
          <w:sz w:val="28"/>
          <w:szCs w:val="28"/>
        </w:rPr>
        <w:tab/>
        <w:t>T0</w:t>
      </w:r>
      <w:r w:rsidRPr="00430B55">
        <w:rPr>
          <w:rFonts w:ascii="Times New Roman" w:hAnsi="Times New Roman" w:cs="Times New Roman"/>
          <w:sz w:val="28"/>
          <w:szCs w:val="28"/>
        </w:rPr>
        <w:tab/>
      </w:r>
      <w:r w:rsidRPr="00430B55">
        <w:rPr>
          <w:rFonts w:ascii="Times New Roman" w:hAnsi="Times New Roman" w:cs="Times New Roman"/>
          <w:sz w:val="28"/>
          <w:szCs w:val="28"/>
        </w:rPr>
        <w:tab/>
        <w:t>N1mi</w:t>
      </w:r>
      <w:r w:rsidRPr="00430B55">
        <w:rPr>
          <w:rFonts w:ascii="Times New Roman" w:hAnsi="Times New Roman" w:cs="Times New Roman"/>
          <w:sz w:val="28"/>
          <w:szCs w:val="28"/>
        </w:rPr>
        <w:tab/>
      </w:r>
      <w:r w:rsidRPr="00430B55">
        <w:rPr>
          <w:rFonts w:ascii="Times New Roman" w:hAnsi="Times New Roman" w:cs="Times New Roman"/>
          <w:sz w:val="28"/>
          <w:szCs w:val="28"/>
        </w:rPr>
        <w:tab/>
      </w:r>
      <w:r w:rsidRPr="00430B55">
        <w:rPr>
          <w:rFonts w:ascii="Times New Roman" w:hAnsi="Times New Roman" w:cs="Times New Roman"/>
          <w:sz w:val="28"/>
          <w:szCs w:val="28"/>
        </w:rPr>
        <w:tab/>
        <w:t>M0</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ab/>
      </w:r>
      <w:r w:rsidRPr="00430B55">
        <w:rPr>
          <w:rFonts w:ascii="Times New Roman" w:hAnsi="Times New Roman" w:cs="Times New Roman"/>
          <w:sz w:val="28"/>
          <w:szCs w:val="28"/>
        </w:rPr>
        <w:tab/>
        <w:t>T1</w:t>
      </w:r>
      <w:r w:rsidRPr="00430B55">
        <w:rPr>
          <w:rFonts w:ascii="Times New Roman" w:hAnsi="Times New Roman" w:cs="Times New Roman"/>
          <w:sz w:val="28"/>
          <w:szCs w:val="28"/>
        </w:rPr>
        <w:tab/>
      </w:r>
      <w:r w:rsidRPr="00430B55">
        <w:rPr>
          <w:rFonts w:ascii="Times New Roman" w:hAnsi="Times New Roman" w:cs="Times New Roman"/>
          <w:sz w:val="28"/>
          <w:szCs w:val="28"/>
        </w:rPr>
        <w:tab/>
        <w:t>N1mi</w:t>
      </w:r>
      <w:r w:rsidRPr="00430B55">
        <w:rPr>
          <w:rFonts w:ascii="Times New Roman" w:hAnsi="Times New Roman" w:cs="Times New Roman"/>
          <w:sz w:val="28"/>
          <w:szCs w:val="28"/>
        </w:rPr>
        <w:tab/>
      </w:r>
      <w:r w:rsidRPr="00430B55">
        <w:rPr>
          <w:rFonts w:ascii="Times New Roman" w:hAnsi="Times New Roman" w:cs="Times New Roman"/>
          <w:sz w:val="28"/>
          <w:szCs w:val="28"/>
        </w:rPr>
        <w:tab/>
      </w:r>
      <w:r w:rsidRPr="00430B55">
        <w:rPr>
          <w:rFonts w:ascii="Times New Roman" w:hAnsi="Times New Roman" w:cs="Times New Roman"/>
          <w:sz w:val="28"/>
          <w:szCs w:val="28"/>
        </w:rPr>
        <w:tab/>
        <w:t>M0</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IIA</w:t>
      </w:r>
      <w:r w:rsidRPr="00430B55">
        <w:rPr>
          <w:rFonts w:ascii="Times New Roman" w:hAnsi="Times New Roman" w:cs="Times New Roman"/>
          <w:sz w:val="28"/>
          <w:szCs w:val="28"/>
        </w:rPr>
        <w:tab/>
      </w:r>
      <w:r w:rsidRPr="00430B55">
        <w:rPr>
          <w:rFonts w:ascii="Times New Roman" w:hAnsi="Times New Roman" w:cs="Times New Roman"/>
          <w:sz w:val="28"/>
          <w:szCs w:val="28"/>
        </w:rPr>
        <w:tab/>
        <w:t>T0</w:t>
      </w:r>
      <w:r w:rsidRPr="00430B55">
        <w:rPr>
          <w:rFonts w:ascii="Times New Roman" w:hAnsi="Times New Roman" w:cs="Times New Roman"/>
          <w:sz w:val="28"/>
          <w:szCs w:val="28"/>
        </w:rPr>
        <w:tab/>
      </w:r>
      <w:r w:rsidRPr="00430B55">
        <w:rPr>
          <w:rFonts w:ascii="Times New Roman" w:hAnsi="Times New Roman" w:cs="Times New Roman"/>
          <w:sz w:val="28"/>
          <w:szCs w:val="28"/>
        </w:rPr>
        <w:tab/>
        <w:t>N1</w:t>
      </w:r>
      <w:r w:rsidRPr="00430B55">
        <w:rPr>
          <w:rFonts w:ascii="Times New Roman" w:hAnsi="Times New Roman" w:cs="Times New Roman"/>
          <w:sz w:val="28"/>
          <w:szCs w:val="28"/>
        </w:rPr>
        <w:tab/>
      </w:r>
      <w:r w:rsidRPr="00430B55">
        <w:rPr>
          <w:rFonts w:ascii="Times New Roman" w:hAnsi="Times New Roman" w:cs="Times New Roman"/>
          <w:sz w:val="28"/>
          <w:szCs w:val="28"/>
        </w:rPr>
        <w:tab/>
      </w:r>
      <w:r w:rsidRPr="00430B55">
        <w:rPr>
          <w:rFonts w:ascii="Times New Roman" w:hAnsi="Times New Roman" w:cs="Times New Roman"/>
          <w:sz w:val="28"/>
          <w:szCs w:val="28"/>
        </w:rPr>
        <w:tab/>
        <w:t>M0</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ab/>
      </w:r>
      <w:r w:rsidRPr="00430B55">
        <w:rPr>
          <w:rFonts w:ascii="Times New Roman" w:hAnsi="Times New Roman" w:cs="Times New Roman"/>
          <w:sz w:val="28"/>
          <w:szCs w:val="28"/>
        </w:rPr>
        <w:tab/>
      </w:r>
      <w:r w:rsidRPr="00430B55">
        <w:rPr>
          <w:rFonts w:ascii="Times New Roman" w:hAnsi="Times New Roman" w:cs="Times New Roman"/>
          <w:sz w:val="28"/>
          <w:szCs w:val="28"/>
        </w:rPr>
        <w:tab/>
        <w:t>T1</w:t>
      </w:r>
      <w:r w:rsidRPr="00430B55">
        <w:rPr>
          <w:rFonts w:ascii="Times New Roman" w:hAnsi="Times New Roman" w:cs="Times New Roman"/>
          <w:sz w:val="28"/>
          <w:szCs w:val="28"/>
        </w:rPr>
        <w:tab/>
      </w:r>
      <w:r w:rsidRPr="00430B55">
        <w:rPr>
          <w:rFonts w:ascii="Times New Roman" w:hAnsi="Times New Roman" w:cs="Times New Roman"/>
          <w:sz w:val="28"/>
          <w:szCs w:val="28"/>
        </w:rPr>
        <w:tab/>
        <w:t>N1</w:t>
      </w:r>
      <w:r w:rsidRPr="00430B55">
        <w:rPr>
          <w:rFonts w:ascii="Times New Roman" w:hAnsi="Times New Roman" w:cs="Times New Roman"/>
          <w:sz w:val="28"/>
          <w:szCs w:val="28"/>
        </w:rPr>
        <w:tab/>
      </w:r>
      <w:r w:rsidRPr="00430B55">
        <w:rPr>
          <w:rFonts w:ascii="Times New Roman" w:hAnsi="Times New Roman" w:cs="Times New Roman"/>
          <w:sz w:val="28"/>
          <w:szCs w:val="28"/>
        </w:rPr>
        <w:tab/>
      </w:r>
      <w:r w:rsidRPr="00430B55">
        <w:rPr>
          <w:rFonts w:ascii="Times New Roman" w:hAnsi="Times New Roman" w:cs="Times New Roman"/>
          <w:sz w:val="28"/>
          <w:szCs w:val="28"/>
        </w:rPr>
        <w:tab/>
        <w:t>M0</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ab/>
      </w:r>
      <w:r w:rsidRPr="00430B55">
        <w:rPr>
          <w:rFonts w:ascii="Times New Roman" w:hAnsi="Times New Roman" w:cs="Times New Roman"/>
          <w:sz w:val="28"/>
          <w:szCs w:val="28"/>
        </w:rPr>
        <w:tab/>
      </w:r>
      <w:r w:rsidRPr="00430B55">
        <w:rPr>
          <w:rFonts w:ascii="Times New Roman" w:hAnsi="Times New Roman" w:cs="Times New Roman"/>
          <w:sz w:val="28"/>
          <w:szCs w:val="28"/>
        </w:rPr>
        <w:tab/>
        <w:t>T2</w:t>
      </w:r>
      <w:r w:rsidRPr="00430B55">
        <w:rPr>
          <w:rFonts w:ascii="Times New Roman" w:hAnsi="Times New Roman" w:cs="Times New Roman"/>
          <w:sz w:val="28"/>
          <w:szCs w:val="28"/>
        </w:rPr>
        <w:tab/>
      </w:r>
      <w:r w:rsidRPr="00430B55">
        <w:rPr>
          <w:rFonts w:ascii="Times New Roman" w:hAnsi="Times New Roman" w:cs="Times New Roman"/>
          <w:sz w:val="28"/>
          <w:szCs w:val="28"/>
        </w:rPr>
        <w:tab/>
        <w:t>N0</w:t>
      </w:r>
      <w:r w:rsidRPr="00430B55">
        <w:rPr>
          <w:rFonts w:ascii="Times New Roman" w:hAnsi="Times New Roman" w:cs="Times New Roman"/>
          <w:sz w:val="28"/>
          <w:szCs w:val="28"/>
        </w:rPr>
        <w:tab/>
      </w:r>
      <w:r w:rsidRPr="00430B55">
        <w:rPr>
          <w:rFonts w:ascii="Times New Roman" w:hAnsi="Times New Roman" w:cs="Times New Roman"/>
          <w:sz w:val="28"/>
          <w:szCs w:val="28"/>
        </w:rPr>
        <w:tab/>
      </w:r>
      <w:r w:rsidRPr="00430B55">
        <w:rPr>
          <w:rFonts w:ascii="Times New Roman" w:hAnsi="Times New Roman" w:cs="Times New Roman"/>
          <w:sz w:val="28"/>
          <w:szCs w:val="28"/>
        </w:rPr>
        <w:tab/>
        <w:t>M0</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IIB</w:t>
      </w:r>
      <w:r w:rsidRPr="00430B55">
        <w:rPr>
          <w:rFonts w:ascii="Times New Roman" w:hAnsi="Times New Roman" w:cs="Times New Roman"/>
          <w:sz w:val="28"/>
          <w:szCs w:val="28"/>
        </w:rPr>
        <w:tab/>
      </w:r>
      <w:r w:rsidRPr="00430B55">
        <w:rPr>
          <w:rFonts w:ascii="Times New Roman" w:hAnsi="Times New Roman" w:cs="Times New Roman"/>
          <w:sz w:val="28"/>
          <w:szCs w:val="28"/>
        </w:rPr>
        <w:tab/>
        <w:t>T2</w:t>
      </w:r>
      <w:r w:rsidRPr="00430B55">
        <w:rPr>
          <w:rFonts w:ascii="Times New Roman" w:hAnsi="Times New Roman" w:cs="Times New Roman"/>
          <w:sz w:val="28"/>
          <w:szCs w:val="28"/>
        </w:rPr>
        <w:tab/>
      </w:r>
      <w:r w:rsidRPr="00430B55">
        <w:rPr>
          <w:rFonts w:ascii="Times New Roman" w:hAnsi="Times New Roman" w:cs="Times New Roman"/>
          <w:sz w:val="28"/>
          <w:szCs w:val="28"/>
        </w:rPr>
        <w:tab/>
        <w:t>N1</w:t>
      </w:r>
      <w:r w:rsidRPr="00430B55">
        <w:rPr>
          <w:rFonts w:ascii="Times New Roman" w:hAnsi="Times New Roman" w:cs="Times New Roman"/>
          <w:sz w:val="28"/>
          <w:szCs w:val="28"/>
        </w:rPr>
        <w:tab/>
      </w:r>
      <w:r w:rsidRPr="00430B55">
        <w:rPr>
          <w:rFonts w:ascii="Times New Roman" w:hAnsi="Times New Roman" w:cs="Times New Roman"/>
          <w:sz w:val="28"/>
          <w:szCs w:val="28"/>
        </w:rPr>
        <w:tab/>
      </w:r>
      <w:r w:rsidRPr="00430B55">
        <w:rPr>
          <w:rFonts w:ascii="Times New Roman" w:hAnsi="Times New Roman" w:cs="Times New Roman"/>
          <w:sz w:val="28"/>
          <w:szCs w:val="28"/>
        </w:rPr>
        <w:tab/>
        <w:t>M0</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ab/>
      </w:r>
      <w:r w:rsidRPr="00430B55">
        <w:rPr>
          <w:rFonts w:ascii="Times New Roman" w:hAnsi="Times New Roman" w:cs="Times New Roman"/>
          <w:sz w:val="28"/>
          <w:szCs w:val="28"/>
        </w:rPr>
        <w:tab/>
      </w:r>
      <w:r w:rsidRPr="00430B55">
        <w:rPr>
          <w:rFonts w:ascii="Times New Roman" w:hAnsi="Times New Roman" w:cs="Times New Roman"/>
          <w:sz w:val="28"/>
          <w:szCs w:val="28"/>
        </w:rPr>
        <w:tab/>
        <w:t xml:space="preserve">T3 </w:t>
      </w:r>
      <w:r w:rsidRPr="00430B55">
        <w:rPr>
          <w:rFonts w:ascii="Times New Roman" w:hAnsi="Times New Roman" w:cs="Times New Roman"/>
          <w:sz w:val="28"/>
          <w:szCs w:val="28"/>
        </w:rPr>
        <w:tab/>
      </w:r>
      <w:r w:rsidRPr="00430B55">
        <w:rPr>
          <w:rFonts w:ascii="Times New Roman" w:hAnsi="Times New Roman" w:cs="Times New Roman"/>
          <w:sz w:val="28"/>
          <w:szCs w:val="28"/>
        </w:rPr>
        <w:tab/>
        <w:t>N0</w:t>
      </w:r>
      <w:r w:rsidRPr="00430B55">
        <w:rPr>
          <w:rFonts w:ascii="Times New Roman" w:hAnsi="Times New Roman" w:cs="Times New Roman"/>
          <w:sz w:val="28"/>
          <w:szCs w:val="28"/>
        </w:rPr>
        <w:tab/>
      </w:r>
      <w:r w:rsidRPr="00430B55">
        <w:rPr>
          <w:rFonts w:ascii="Times New Roman" w:hAnsi="Times New Roman" w:cs="Times New Roman"/>
          <w:sz w:val="28"/>
          <w:szCs w:val="28"/>
        </w:rPr>
        <w:tab/>
      </w:r>
      <w:r w:rsidRPr="00430B55">
        <w:rPr>
          <w:rFonts w:ascii="Times New Roman" w:hAnsi="Times New Roman" w:cs="Times New Roman"/>
          <w:sz w:val="28"/>
          <w:szCs w:val="28"/>
        </w:rPr>
        <w:tab/>
        <w:t>M0</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IIIA</w:t>
      </w:r>
      <w:r w:rsidRPr="00430B55">
        <w:rPr>
          <w:rFonts w:ascii="Times New Roman" w:hAnsi="Times New Roman" w:cs="Times New Roman"/>
          <w:sz w:val="28"/>
          <w:szCs w:val="28"/>
        </w:rPr>
        <w:tab/>
      </w:r>
      <w:r w:rsidRPr="00430B55">
        <w:rPr>
          <w:rFonts w:ascii="Times New Roman" w:hAnsi="Times New Roman" w:cs="Times New Roman"/>
          <w:sz w:val="28"/>
          <w:szCs w:val="28"/>
        </w:rPr>
        <w:tab/>
        <w:t>T0</w:t>
      </w:r>
      <w:r w:rsidRPr="00430B55">
        <w:rPr>
          <w:rFonts w:ascii="Times New Roman" w:hAnsi="Times New Roman" w:cs="Times New Roman"/>
          <w:sz w:val="28"/>
          <w:szCs w:val="28"/>
        </w:rPr>
        <w:tab/>
      </w:r>
      <w:r w:rsidRPr="00430B55">
        <w:rPr>
          <w:rFonts w:ascii="Times New Roman" w:hAnsi="Times New Roman" w:cs="Times New Roman"/>
          <w:sz w:val="28"/>
          <w:szCs w:val="28"/>
        </w:rPr>
        <w:tab/>
        <w:t>N2</w:t>
      </w:r>
      <w:r w:rsidRPr="00430B55">
        <w:rPr>
          <w:rFonts w:ascii="Times New Roman" w:hAnsi="Times New Roman" w:cs="Times New Roman"/>
          <w:sz w:val="28"/>
          <w:szCs w:val="28"/>
        </w:rPr>
        <w:tab/>
      </w:r>
      <w:r w:rsidRPr="00430B55">
        <w:rPr>
          <w:rFonts w:ascii="Times New Roman" w:hAnsi="Times New Roman" w:cs="Times New Roman"/>
          <w:sz w:val="28"/>
          <w:szCs w:val="28"/>
        </w:rPr>
        <w:tab/>
      </w:r>
      <w:r w:rsidRPr="00430B55">
        <w:rPr>
          <w:rFonts w:ascii="Times New Roman" w:hAnsi="Times New Roman" w:cs="Times New Roman"/>
          <w:sz w:val="28"/>
          <w:szCs w:val="28"/>
        </w:rPr>
        <w:tab/>
        <w:t>M0</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ab/>
      </w:r>
      <w:r w:rsidRPr="00430B55">
        <w:rPr>
          <w:rFonts w:ascii="Times New Roman" w:hAnsi="Times New Roman" w:cs="Times New Roman"/>
          <w:sz w:val="28"/>
          <w:szCs w:val="28"/>
        </w:rPr>
        <w:tab/>
      </w:r>
      <w:r w:rsidRPr="00430B55">
        <w:rPr>
          <w:rFonts w:ascii="Times New Roman" w:hAnsi="Times New Roman" w:cs="Times New Roman"/>
          <w:sz w:val="28"/>
          <w:szCs w:val="28"/>
        </w:rPr>
        <w:tab/>
        <w:t>T1</w:t>
      </w:r>
      <w:r w:rsidRPr="00430B55">
        <w:rPr>
          <w:rFonts w:ascii="Times New Roman" w:hAnsi="Times New Roman" w:cs="Times New Roman"/>
          <w:sz w:val="28"/>
          <w:szCs w:val="28"/>
        </w:rPr>
        <w:tab/>
      </w:r>
      <w:r w:rsidRPr="00430B55">
        <w:rPr>
          <w:rFonts w:ascii="Times New Roman" w:hAnsi="Times New Roman" w:cs="Times New Roman"/>
          <w:sz w:val="28"/>
          <w:szCs w:val="28"/>
        </w:rPr>
        <w:tab/>
        <w:t>N2</w:t>
      </w:r>
      <w:r w:rsidRPr="00430B55">
        <w:rPr>
          <w:rFonts w:ascii="Times New Roman" w:hAnsi="Times New Roman" w:cs="Times New Roman"/>
          <w:sz w:val="28"/>
          <w:szCs w:val="28"/>
        </w:rPr>
        <w:tab/>
      </w:r>
      <w:r w:rsidRPr="00430B55">
        <w:rPr>
          <w:rFonts w:ascii="Times New Roman" w:hAnsi="Times New Roman" w:cs="Times New Roman"/>
          <w:sz w:val="28"/>
          <w:szCs w:val="28"/>
        </w:rPr>
        <w:tab/>
      </w:r>
      <w:r w:rsidRPr="00430B55">
        <w:rPr>
          <w:rFonts w:ascii="Times New Roman" w:hAnsi="Times New Roman" w:cs="Times New Roman"/>
          <w:sz w:val="28"/>
          <w:szCs w:val="28"/>
        </w:rPr>
        <w:tab/>
        <w:t>M0</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ab/>
      </w:r>
      <w:r w:rsidRPr="00430B55">
        <w:rPr>
          <w:rFonts w:ascii="Times New Roman" w:hAnsi="Times New Roman" w:cs="Times New Roman"/>
          <w:sz w:val="28"/>
          <w:szCs w:val="28"/>
        </w:rPr>
        <w:tab/>
      </w:r>
      <w:r w:rsidRPr="00430B55">
        <w:rPr>
          <w:rFonts w:ascii="Times New Roman" w:hAnsi="Times New Roman" w:cs="Times New Roman"/>
          <w:sz w:val="28"/>
          <w:szCs w:val="28"/>
        </w:rPr>
        <w:tab/>
        <w:t>T2</w:t>
      </w:r>
      <w:r w:rsidRPr="00430B55">
        <w:rPr>
          <w:rFonts w:ascii="Times New Roman" w:hAnsi="Times New Roman" w:cs="Times New Roman"/>
          <w:sz w:val="28"/>
          <w:szCs w:val="28"/>
        </w:rPr>
        <w:tab/>
      </w:r>
      <w:r w:rsidRPr="00430B55">
        <w:rPr>
          <w:rFonts w:ascii="Times New Roman" w:hAnsi="Times New Roman" w:cs="Times New Roman"/>
          <w:sz w:val="28"/>
          <w:szCs w:val="28"/>
        </w:rPr>
        <w:tab/>
        <w:t>N2</w:t>
      </w:r>
      <w:r w:rsidRPr="00430B55">
        <w:rPr>
          <w:rFonts w:ascii="Times New Roman" w:hAnsi="Times New Roman" w:cs="Times New Roman"/>
          <w:sz w:val="28"/>
          <w:szCs w:val="28"/>
        </w:rPr>
        <w:tab/>
      </w:r>
      <w:r w:rsidRPr="00430B55">
        <w:rPr>
          <w:rFonts w:ascii="Times New Roman" w:hAnsi="Times New Roman" w:cs="Times New Roman"/>
          <w:sz w:val="28"/>
          <w:szCs w:val="28"/>
        </w:rPr>
        <w:tab/>
      </w:r>
      <w:r w:rsidRPr="00430B55">
        <w:rPr>
          <w:rFonts w:ascii="Times New Roman" w:hAnsi="Times New Roman" w:cs="Times New Roman"/>
          <w:sz w:val="28"/>
          <w:szCs w:val="28"/>
        </w:rPr>
        <w:tab/>
        <w:t>M0</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ab/>
      </w:r>
      <w:r w:rsidRPr="00430B55">
        <w:rPr>
          <w:rFonts w:ascii="Times New Roman" w:hAnsi="Times New Roman" w:cs="Times New Roman"/>
          <w:sz w:val="28"/>
          <w:szCs w:val="28"/>
        </w:rPr>
        <w:tab/>
      </w:r>
      <w:r w:rsidRPr="00430B55">
        <w:rPr>
          <w:rFonts w:ascii="Times New Roman" w:hAnsi="Times New Roman" w:cs="Times New Roman"/>
          <w:sz w:val="28"/>
          <w:szCs w:val="28"/>
        </w:rPr>
        <w:tab/>
        <w:t>T3</w:t>
      </w:r>
      <w:r w:rsidRPr="00430B55">
        <w:rPr>
          <w:rFonts w:ascii="Times New Roman" w:hAnsi="Times New Roman" w:cs="Times New Roman"/>
          <w:sz w:val="28"/>
          <w:szCs w:val="28"/>
        </w:rPr>
        <w:tab/>
      </w:r>
      <w:r w:rsidRPr="00430B55">
        <w:rPr>
          <w:rFonts w:ascii="Times New Roman" w:hAnsi="Times New Roman" w:cs="Times New Roman"/>
          <w:sz w:val="28"/>
          <w:szCs w:val="28"/>
        </w:rPr>
        <w:tab/>
        <w:t>N1,</w:t>
      </w:r>
      <w:r w:rsidRPr="00430B55">
        <w:rPr>
          <w:rFonts w:ascii="Times New Roman" w:hAnsi="Times New Roman" w:cs="Times New Roman"/>
          <w:sz w:val="28"/>
          <w:szCs w:val="28"/>
        </w:rPr>
        <w:tab/>
      </w:r>
      <w:r w:rsidRPr="00430B55">
        <w:rPr>
          <w:rFonts w:ascii="Times New Roman" w:hAnsi="Times New Roman" w:cs="Times New Roman"/>
          <w:sz w:val="28"/>
          <w:szCs w:val="28"/>
        </w:rPr>
        <w:tab/>
      </w:r>
      <w:r w:rsidRPr="00430B55">
        <w:rPr>
          <w:rFonts w:ascii="Times New Roman" w:hAnsi="Times New Roman" w:cs="Times New Roman"/>
          <w:sz w:val="28"/>
          <w:szCs w:val="28"/>
        </w:rPr>
        <w:tab/>
        <w:t>M0</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ab/>
      </w:r>
      <w:r w:rsidRPr="00430B55">
        <w:rPr>
          <w:rFonts w:ascii="Times New Roman" w:hAnsi="Times New Roman" w:cs="Times New Roman"/>
          <w:sz w:val="28"/>
          <w:szCs w:val="28"/>
        </w:rPr>
        <w:tab/>
      </w:r>
      <w:r w:rsidRPr="00430B55">
        <w:rPr>
          <w:rFonts w:ascii="Times New Roman" w:hAnsi="Times New Roman" w:cs="Times New Roman"/>
          <w:sz w:val="28"/>
          <w:szCs w:val="28"/>
        </w:rPr>
        <w:tab/>
        <w:t>T3</w:t>
      </w:r>
      <w:r w:rsidRPr="00430B55">
        <w:rPr>
          <w:rFonts w:ascii="Times New Roman" w:hAnsi="Times New Roman" w:cs="Times New Roman"/>
          <w:sz w:val="28"/>
          <w:szCs w:val="28"/>
        </w:rPr>
        <w:tab/>
      </w:r>
      <w:r w:rsidRPr="00430B55">
        <w:rPr>
          <w:rFonts w:ascii="Times New Roman" w:hAnsi="Times New Roman" w:cs="Times New Roman"/>
          <w:sz w:val="28"/>
          <w:szCs w:val="28"/>
        </w:rPr>
        <w:tab/>
        <w:t>N2</w:t>
      </w:r>
      <w:r w:rsidRPr="00430B55">
        <w:rPr>
          <w:rFonts w:ascii="Times New Roman" w:hAnsi="Times New Roman" w:cs="Times New Roman"/>
          <w:sz w:val="28"/>
          <w:szCs w:val="28"/>
        </w:rPr>
        <w:tab/>
      </w:r>
      <w:r w:rsidRPr="00430B55">
        <w:rPr>
          <w:rFonts w:ascii="Times New Roman" w:hAnsi="Times New Roman" w:cs="Times New Roman"/>
          <w:sz w:val="28"/>
          <w:szCs w:val="28"/>
        </w:rPr>
        <w:tab/>
      </w:r>
      <w:r w:rsidRPr="00430B55">
        <w:rPr>
          <w:rFonts w:ascii="Times New Roman" w:hAnsi="Times New Roman" w:cs="Times New Roman"/>
          <w:sz w:val="28"/>
          <w:szCs w:val="28"/>
        </w:rPr>
        <w:tab/>
        <w:t>M0</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IIIB</w:t>
      </w:r>
      <w:r w:rsidRPr="00430B55">
        <w:rPr>
          <w:rFonts w:ascii="Times New Roman" w:hAnsi="Times New Roman" w:cs="Times New Roman"/>
          <w:sz w:val="28"/>
          <w:szCs w:val="28"/>
        </w:rPr>
        <w:tab/>
      </w:r>
      <w:r w:rsidRPr="00430B55">
        <w:rPr>
          <w:rFonts w:ascii="Times New Roman" w:hAnsi="Times New Roman" w:cs="Times New Roman"/>
          <w:sz w:val="28"/>
          <w:szCs w:val="28"/>
        </w:rPr>
        <w:tab/>
        <w:t xml:space="preserve">T4 </w:t>
      </w:r>
      <w:r w:rsidRPr="00430B55">
        <w:rPr>
          <w:rFonts w:ascii="Times New Roman" w:hAnsi="Times New Roman" w:cs="Times New Roman"/>
          <w:sz w:val="28"/>
          <w:szCs w:val="28"/>
        </w:rPr>
        <w:tab/>
      </w:r>
      <w:r w:rsidRPr="00430B55">
        <w:rPr>
          <w:rFonts w:ascii="Times New Roman" w:hAnsi="Times New Roman" w:cs="Times New Roman"/>
          <w:sz w:val="28"/>
          <w:szCs w:val="28"/>
        </w:rPr>
        <w:tab/>
        <w:t>N0</w:t>
      </w:r>
      <w:r w:rsidRPr="00430B55">
        <w:rPr>
          <w:rFonts w:ascii="Times New Roman" w:hAnsi="Times New Roman" w:cs="Times New Roman"/>
          <w:sz w:val="28"/>
          <w:szCs w:val="28"/>
        </w:rPr>
        <w:tab/>
      </w:r>
      <w:r w:rsidRPr="00430B55">
        <w:rPr>
          <w:rFonts w:ascii="Times New Roman" w:hAnsi="Times New Roman" w:cs="Times New Roman"/>
          <w:sz w:val="28"/>
          <w:szCs w:val="28"/>
        </w:rPr>
        <w:tab/>
        <w:t xml:space="preserve">            M0</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ab/>
      </w:r>
      <w:r w:rsidRPr="00430B55">
        <w:rPr>
          <w:rFonts w:ascii="Times New Roman" w:hAnsi="Times New Roman" w:cs="Times New Roman"/>
          <w:sz w:val="28"/>
          <w:szCs w:val="28"/>
        </w:rPr>
        <w:tab/>
        <w:t xml:space="preserve">T4 </w:t>
      </w:r>
      <w:r w:rsidRPr="00430B55">
        <w:rPr>
          <w:rFonts w:ascii="Times New Roman" w:hAnsi="Times New Roman" w:cs="Times New Roman"/>
          <w:sz w:val="28"/>
          <w:szCs w:val="28"/>
        </w:rPr>
        <w:tab/>
      </w:r>
      <w:r w:rsidRPr="00430B55">
        <w:rPr>
          <w:rFonts w:ascii="Times New Roman" w:hAnsi="Times New Roman" w:cs="Times New Roman"/>
          <w:sz w:val="28"/>
          <w:szCs w:val="28"/>
        </w:rPr>
        <w:tab/>
        <w:t>N1</w:t>
      </w:r>
      <w:r w:rsidRPr="00430B55">
        <w:rPr>
          <w:rFonts w:ascii="Times New Roman" w:hAnsi="Times New Roman" w:cs="Times New Roman"/>
          <w:sz w:val="28"/>
          <w:szCs w:val="28"/>
        </w:rPr>
        <w:tab/>
      </w:r>
      <w:r w:rsidRPr="00430B55">
        <w:rPr>
          <w:rFonts w:ascii="Times New Roman" w:hAnsi="Times New Roman" w:cs="Times New Roman"/>
          <w:sz w:val="28"/>
          <w:szCs w:val="28"/>
        </w:rPr>
        <w:tab/>
        <w:t xml:space="preserve">            M0</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lastRenderedPageBreak/>
        <w:tab/>
      </w:r>
      <w:r w:rsidRPr="00430B55">
        <w:rPr>
          <w:rFonts w:ascii="Times New Roman" w:hAnsi="Times New Roman" w:cs="Times New Roman"/>
          <w:sz w:val="28"/>
          <w:szCs w:val="28"/>
        </w:rPr>
        <w:tab/>
        <w:t xml:space="preserve">T4 </w:t>
      </w:r>
      <w:r w:rsidRPr="00430B55">
        <w:rPr>
          <w:rFonts w:ascii="Times New Roman" w:hAnsi="Times New Roman" w:cs="Times New Roman"/>
          <w:sz w:val="28"/>
          <w:szCs w:val="28"/>
        </w:rPr>
        <w:tab/>
      </w:r>
      <w:r w:rsidRPr="00430B55">
        <w:rPr>
          <w:rFonts w:ascii="Times New Roman" w:hAnsi="Times New Roman" w:cs="Times New Roman"/>
          <w:sz w:val="28"/>
          <w:szCs w:val="28"/>
        </w:rPr>
        <w:tab/>
        <w:t>N2</w:t>
      </w:r>
      <w:r w:rsidRPr="00430B55">
        <w:rPr>
          <w:rFonts w:ascii="Times New Roman" w:hAnsi="Times New Roman" w:cs="Times New Roman"/>
          <w:sz w:val="28"/>
          <w:szCs w:val="28"/>
        </w:rPr>
        <w:tab/>
      </w:r>
      <w:r w:rsidRPr="00430B55">
        <w:rPr>
          <w:rFonts w:ascii="Times New Roman" w:hAnsi="Times New Roman" w:cs="Times New Roman"/>
          <w:sz w:val="28"/>
          <w:szCs w:val="28"/>
        </w:rPr>
        <w:tab/>
        <w:t xml:space="preserve">            M0</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ab/>
        <w:t>IIIC</w:t>
      </w:r>
      <w:r w:rsidRPr="00430B55">
        <w:rPr>
          <w:rFonts w:ascii="Times New Roman" w:hAnsi="Times New Roman" w:cs="Times New Roman"/>
          <w:sz w:val="28"/>
          <w:szCs w:val="28"/>
        </w:rPr>
        <w:tab/>
      </w:r>
      <w:r w:rsidRPr="00430B55">
        <w:rPr>
          <w:rFonts w:ascii="Times New Roman" w:hAnsi="Times New Roman" w:cs="Times New Roman"/>
          <w:sz w:val="28"/>
          <w:szCs w:val="28"/>
        </w:rPr>
        <w:tab/>
        <w:t xml:space="preserve">Bất kỳ T </w:t>
      </w:r>
      <w:r w:rsidRPr="00430B55">
        <w:rPr>
          <w:rFonts w:ascii="Times New Roman" w:hAnsi="Times New Roman" w:cs="Times New Roman"/>
          <w:sz w:val="28"/>
          <w:szCs w:val="28"/>
        </w:rPr>
        <w:tab/>
        <w:t>N3</w:t>
      </w:r>
      <w:r w:rsidRPr="00430B55">
        <w:rPr>
          <w:rFonts w:ascii="Times New Roman" w:hAnsi="Times New Roman" w:cs="Times New Roman"/>
          <w:sz w:val="28"/>
          <w:szCs w:val="28"/>
        </w:rPr>
        <w:tab/>
      </w:r>
      <w:r w:rsidRPr="00430B55">
        <w:rPr>
          <w:rFonts w:ascii="Times New Roman" w:hAnsi="Times New Roman" w:cs="Times New Roman"/>
          <w:sz w:val="28"/>
          <w:szCs w:val="28"/>
        </w:rPr>
        <w:tab/>
      </w:r>
      <w:r w:rsidRPr="00430B55">
        <w:rPr>
          <w:rFonts w:ascii="Times New Roman" w:hAnsi="Times New Roman" w:cs="Times New Roman"/>
          <w:sz w:val="28"/>
          <w:szCs w:val="28"/>
        </w:rPr>
        <w:tab/>
        <w:t>M0</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IV</w:t>
      </w:r>
      <w:r w:rsidRPr="00430B55">
        <w:rPr>
          <w:rFonts w:ascii="Times New Roman" w:hAnsi="Times New Roman" w:cs="Times New Roman"/>
          <w:sz w:val="28"/>
          <w:szCs w:val="28"/>
        </w:rPr>
        <w:tab/>
      </w:r>
      <w:r w:rsidRPr="00430B55">
        <w:rPr>
          <w:rFonts w:ascii="Times New Roman" w:hAnsi="Times New Roman" w:cs="Times New Roman"/>
          <w:sz w:val="28"/>
          <w:szCs w:val="28"/>
        </w:rPr>
        <w:tab/>
        <w:t>Bất kỳ T</w:t>
      </w:r>
      <w:r w:rsidRPr="00430B55">
        <w:rPr>
          <w:rFonts w:ascii="Times New Roman" w:hAnsi="Times New Roman" w:cs="Times New Roman"/>
          <w:sz w:val="28"/>
          <w:szCs w:val="28"/>
        </w:rPr>
        <w:tab/>
        <w:t>Bất kỳ N</w:t>
      </w:r>
      <w:r w:rsidRPr="00430B55">
        <w:rPr>
          <w:rFonts w:ascii="Times New Roman" w:hAnsi="Times New Roman" w:cs="Times New Roman"/>
          <w:sz w:val="28"/>
          <w:szCs w:val="28"/>
        </w:rPr>
        <w:tab/>
      </w:r>
      <w:r w:rsidRPr="00430B55">
        <w:rPr>
          <w:rFonts w:ascii="Times New Roman" w:hAnsi="Times New Roman" w:cs="Times New Roman"/>
          <w:sz w:val="28"/>
          <w:szCs w:val="28"/>
        </w:rPr>
        <w:tab/>
        <w:t xml:space="preserve"> M1</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 </w:t>
      </w:r>
      <w:r w:rsidRPr="00430B55">
        <w:rPr>
          <w:rFonts w:ascii="Times New Roman" w:hAnsi="Times New Roman" w:cs="Times New Roman"/>
          <w:sz w:val="28"/>
          <w:szCs w:val="28"/>
        </w:rPr>
        <w:tab/>
        <w:t>N1Mi: hạch di căn vi thể (micrometastases) kích thước hạch trên 0,2mm và không lớn hơn 2mm.</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4.4. Chẩn đoán mô bệnh học và hóa mô miễn dịch</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4.4.1. Chẩn đoán mô bệnh học</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Hình thái vi thể của ung thư vú rất đa dạng, hiện nay có nhiều hệ thống phân loại trong bệnh lý này.</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Phân loại của tổ chức Y tế thế giới (WHO) năm 1981: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Thể giải phẫu bệnh ung thư vú được chia làm hai loại chính:</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ab/>
        <w:t>. Loại không xâm  nhập bao gồm</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 ung thư   biểu mô thể ống tại chỗ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ung thư  tiểu thuỳ tại chỗ</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ab/>
        <w:t>. Loại xâm nhập bao gồm</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ung thư  biểu mô ống xâm nhập</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 ung thư  biểu mô ống xâm nhập với thành phần nội ống trội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ung thư  biểu mô tiểu thuỳ xâm nhập</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ung thư  biểu mô thể nhầy</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ung thư  biểu mô thể tuỷ</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ung thư  biểu mô thể nhú</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ung thư  biểu mô thể ống nhỏ</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ung thư  biểu mô  tuyến nang</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lastRenderedPageBreak/>
        <w:t>+ ung thư  biểu mô chế tiết</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ung thư  biểu mô  bán huỷ</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ung thư  biểu mô dị sản</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ab/>
      </w:r>
      <w:r w:rsidRPr="00430B55">
        <w:rPr>
          <w:rFonts w:ascii="Times New Roman" w:hAnsi="Times New Roman" w:cs="Times New Roman"/>
          <w:sz w:val="28"/>
          <w:szCs w:val="28"/>
        </w:rPr>
        <w:tab/>
      </w:r>
      <w:r w:rsidRPr="00430B55">
        <w:rPr>
          <w:rFonts w:ascii="Times New Roman" w:hAnsi="Times New Roman" w:cs="Times New Roman"/>
          <w:sz w:val="28"/>
          <w:szCs w:val="28"/>
        </w:rPr>
        <w:tab/>
        <w:t>. Dị sản vảy</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ab/>
      </w:r>
      <w:r w:rsidRPr="00430B55">
        <w:rPr>
          <w:rFonts w:ascii="Times New Roman" w:hAnsi="Times New Roman" w:cs="Times New Roman"/>
          <w:sz w:val="28"/>
          <w:szCs w:val="28"/>
        </w:rPr>
        <w:tab/>
      </w:r>
      <w:r w:rsidRPr="00430B55">
        <w:rPr>
          <w:rFonts w:ascii="Times New Roman" w:hAnsi="Times New Roman" w:cs="Times New Roman"/>
          <w:sz w:val="28"/>
          <w:szCs w:val="28"/>
        </w:rPr>
        <w:tab/>
        <w:t>. Dị sản tế bào hình thoi</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ab/>
      </w:r>
      <w:r w:rsidRPr="00430B55">
        <w:rPr>
          <w:rFonts w:ascii="Times New Roman" w:hAnsi="Times New Roman" w:cs="Times New Roman"/>
          <w:sz w:val="28"/>
          <w:szCs w:val="28"/>
        </w:rPr>
        <w:tab/>
      </w:r>
      <w:r w:rsidRPr="00430B55">
        <w:rPr>
          <w:rFonts w:ascii="Times New Roman" w:hAnsi="Times New Roman" w:cs="Times New Roman"/>
          <w:sz w:val="28"/>
          <w:szCs w:val="28"/>
        </w:rPr>
        <w:tab/>
        <w:t>. Dị sản dạng sụn và dạng xương</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ab/>
      </w:r>
      <w:r w:rsidRPr="00430B55">
        <w:rPr>
          <w:rFonts w:ascii="Times New Roman" w:hAnsi="Times New Roman" w:cs="Times New Roman"/>
          <w:sz w:val="28"/>
          <w:szCs w:val="28"/>
        </w:rPr>
        <w:tab/>
      </w:r>
      <w:r w:rsidRPr="00430B55">
        <w:rPr>
          <w:rFonts w:ascii="Times New Roman" w:hAnsi="Times New Roman" w:cs="Times New Roman"/>
          <w:sz w:val="28"/>
          <w:szCs w:val="28"/>
        </w:rPr>
        <w:tab/>
        <w:t>. Loại hỗn hợp</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Các loại khác: bệnh Paget</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Năm 1990, Hiệp hội quốc tế phòng chống ung thư (UICC) đã thống nhất một hệ thống phân loại cải biên trên cơ sở hệ thống phân loại của WHO 1981 áp dụng cho chương trình nghiên cứu về điều trị ung thư vú bằng Tamoxifen.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Hệ thống gồm 15 nhóm như sau: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Ung thư biểu mô ống xâm nhập (loại kinh điển)</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Ung thư biểu mô tuỷ</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Ung thư biểu mô biến thể tuỷ</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Ung thư biểu mô tiểu thuỳ xâm nhập</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Ung thư biểu mô biến thể tiểu thuỳ</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Ung thư biểu mô nhầy</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Ung thư biểu mô biến thể nhầy</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Ung thư biểu mô ống nhỏ</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Ung thư biểu mô biến thể ống nhỏ</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 Ung thư biểu mô thành phần nội ống trội</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 Ung thư biểu mô tại chỗ loại trứng cá</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lastRenderedPageBreak/>
        <w:t xml:space="preserve"> Ung thư biểu mô tại chỗ không trứng cá</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 Ung thư biểu mô tiểu thuỳ tại chỗ</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 Ung thư biểu mô ống vi xâm nhập</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 Các loại khác.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Năm 2003, Tổ chức Y tế Thế giới đã công bố một bảng phân loại mô học mới các ung thư vú. Hệ thống phân loại này chi tiết hơn các hệ thống phân loại mô học trước đó, đặc biệt bổ xung nhiều týp đặc biệt và mỗi nhóm đều mã hoá theo mã bệnh quốc tế.</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Tóm lại, hệ thống phân loại ung thư biểu mô tuyến vú luôn được sửa đổi và bổ xung. điều đó chứng minh tính chất phức tạp cả về hình thái tổn thương và diễn biến lâm sàng của bệnh, cũng như tính chất cấp thiết của việc tiếp tục nghiên cứu về phân loại mô bệnh học.</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4.4.2. Chẩn đoán hóa mô miễn dịch</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 Thụ thể Estrogen và Progesteron: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Các protein thụ thể hormon steroid trong tế bào gồm estrogen (ER) và progesteron (PR) đã được nghiên cứu nhiều như  những yếu tố tiên lượng và hướng dẫn cho điều trị nội tiết.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Protein U Heu-2/Neu (C-ERBB-2):</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Ý nghĩa của phản ứng hoá mô miễn dịch phát hiện Heu-2/neu rất khác nhau. Một số tác giả cho rằng sự bộc lộ quá mức của Heu-2/neu phản ánh tiên lượng xấu. Sự bộc lộ đồng thời p53 và các protein c-erbB-2 là yếu tố tiên đoán mạnh mẽ tái phát sớm ở bệnh nhân ung thư vú.</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Protein P53:</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Đột biến gen p53 chiếm khoảng 14-26% các ung thư vú. Loại protein đột biến này hay gặp ở những ung thư vú có tính chất gia đình hơn là những loại khác.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 Ki-67 và Mib-1: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lastRenderedPageBreak/>
        <w:t xml:space="preserve">Ki-67 là một kháng thể xác định một kháng nguyên nhân bộc lộ bởi các tế bào trong các pha tăng sinh (G1, G2, S, M). Ki-67 không được phát hiện trong các pha nghỉ ngơi. Tỉ lệ Ki-67 cao liên quan với sự biệt hoá mô học kém và di căn hạch. Có sự khác biệt có ý nghĩa về thời gian sống thêm không bệnh giữa các bệnh nhân có Ki-67 dương tính / ER âm tính so với những bệnh nhân Ki-67 âm tính / ER dương tính.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5. ĐIỀU TRỊ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NGUYÊN TẮC ĐIỀU TRỊ:</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Khẳng định chẩn đoán và typ mô bệnh học của ung thư</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Chẩn đoán giai đoạn bệnh để lựa chọn phương pháp và lập kế hoạch điều trị</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Phát hiện các bệnh lý phối hợp và các chống chỉ định với điều trị</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Giải thích cho bệnh nhân về tình trạng bệnh</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Lựa chọn phương pháp điều trị thích hợp nhất</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Kiểm soát các biến chứng của bệnh và biến chứng do điều trị</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Đảm bảo chất lượng cuộc sống tốt nhất có thể cho bệnh nhân</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Carcinom thể nội ống</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Ung thư biểu mô thể nội ống thường được phát hiện bằng hình ảnh vi vôi hóa trên phim chụp Mamo tuyến vú</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Chẩn đoán ung thư biểu mô thể nội ống là chẩn đoán mô bệnh học</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Điều trị lý tưởng của ugn thư biểu mô thể nội ống là phẫu thuật bảo tồn nếu có thể phụ thuộc vào phẫu thuật viên, sau đó xạ trị</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Chỉ định điều trị cụ thể:</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 </w:t>
      </w:r>
      <w:r w:rsidRPr="00430B55">
        <w:rPr>
          <w:rFonts w:ascii="Times New Roman" w:hAnsi="Times New Roman" w:cs="Times New Roman"/>
          <w:sz w:val="28"/>
          <w:szCs w:val="28"/>
        </w:rPr>
        <w:tab/>
        <w:t>Nếu diện cắt tiếp cận u: phẫu thuật cắt lại hoặc cắt tuyến vú</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 </w:t>
      </w:r>
      <w:r w:rsidRPr="00430B55">
        <w:rPr>
          <w:rFonts w:ascii="Times New Roman" w:hAnsi="Times New Roman" w:cs="Times New Roman"/>
          <w:sz w:val="28"/>
          <w:szCs w:val="28"/>
        </w:rPr>
        <w:tab/>
        <w:t>Tổn thương vi vôi hóa lan tỏa toàn bộ tuyến vú: phẫu thuật cắt tuyến vú</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lastRenderedPageBreak/>
        <w:t xml:space="preserve">+ </w:t>
      </w:r>
      <w:r w:rsidRPr="00430B55">
        <w:rPr>
          <w:rFonts w:ascii="Times New Roman" w:hAnsi="Times New Roman" w:cs="Times New Roman"/>
          <w:sz w:val="28"/>
          <w:szCs w:val="28"/>
        </w:rPr>
        <w:tab/>
        <w:t>Phẫu thuật bảo tồn không còn tổn thương vi vôi hóa sau mổ: chỉ định xạ trị tuyến vú</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 </w:t>
      </w:r>
      <w:r w:rsidRPr="00430B55">
        <w:rPr>
          <w:rFonts w:ascii="Times New Roman" w:hAnsi="Times New Roman" w:cs="Times New Roman"/>
          <w:sz w:val="28"/>
          <w:szCs w:val="28"/>
        </w:rPr>
        <w:tab/>
        <w:t>Phẫu thuật sinh thiết hạch cửa chỉ định khi sờ thấy u trên lâm sàng, hoặc khi nghi ngờ ung thư vi xâm lấn trên chẩn đoán hình ảnh  hoặc trên giải phẫu bệnh.</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 </w:t>
      </w:r>
      <w:r w:rsidRPr="00430B55">
        <w:rPr>
          <w:rFonts w:ascii="Times New Roman" w:hAnsi="Times New Roman" w:cs="Times New Roman"/>
          <w:sz w:val="28"/>
          <w:szCs w:val="28"/>
        </w:rPr>
        <w:tab/>
        <w:t>BN có chống chỉ định phẫu thuật bảo tồn (không đảm bảo diện cắt, BN từ chối), phẫu thuật cắt tuyến vú không vét hạch nách, có hoặc không tạo hình tuyến vú đồng thời</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Điều trị ung thư biểu mô tiểu thùy tại chỗ (LIN): tùy theo phân độ LIN chia thành 3 mức độ theo Tổ chức Y tế thế giới 2003:</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LIN 1: theo dõi</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LIN 2: phẫu thuật sinh thiết u.</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LIN 3: phẫu thuật lấy rộng u: LIN 3 typ 1: theo dõi và thậm chí không cần phẫu thuật lại nếu diện cắt dương tính nhưng với LIN 3 typ 2: đảm bảo diện cắt âm tính cho loại giải phẫu bệnh đa hình thái hoặc có hoại tử hoặc tế bào nhẫn và cân nhắc tia xạ bổ trợ.</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Ung thư còn khu trú</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Mục đích là điều trị triệt căn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Mục đích thứ 2 là bảo tồn vú nếu có thể cho bệnh nhân</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Phẫu thuật</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Là phương pháp điều trị triệt căn ung thư vú</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Phẫu thuật bao gồm: phẫu thuật cắt tuyến vú và vét hạch nách</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Phẫu thuật cắt tuyến vú</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Khi có chẩn đoán lâm sàng (+), xq vú (+), xét nghiệm tế bào (+) hoặc sinh thiết kim cho kết quả (+). Trong trường hợp chưa rõ ràng sẽ tiến hành phẫu thuật lấy u làm sinh thiết tức thì.</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Chống chỉ định phẫu thuật ngay:</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lastRenderedPageBreak/>
        <w:t>+ Có dấu hiệu nhiễm trùng</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U cố định vào thành ngực/ hạch kém di động</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Ung thư vú thể viêm</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2 kỹ thuật được thực hiện:</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Phẫu thuật cắt thùy tuyến vú: với u kích thước ≤ 3cm, cần đảm bảo diện cắt âm tính.</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Phẫu thuật cắt tuyến vú triệt căn biến đổi (bảo tồn cơ ngực): u kích thước ≥ 3cm, hoặc khối u đa ổ.</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Khối u kích thước lớn đã được hóa chất tiền phẫu có thể được điều trị bằng phẫu thuật cắt thùy tuyến vú.</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Phẫu thuật tạo hình tuyến vú có thể được thực hiện theo nhiều cách thức khác nhau (có chỉ định xạ trị thường quy sau phẫu thuật tạo hình tuyến vú). Trong trường hợp ung thư vú thể nội ống, có thể phẫu thuật tạo hình ngay tức khắc.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Phẫu thuật vét hạch nách</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Phẫu thuật sinh thiết hạch cửa (hạch cửa là hạch đầu tiên nhận bạch huyết từ vú, được coi là chặng hạch đầu tiên di căn của ung thư vú): chỉ định khi u kích thước &lt; 2cm:</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Hạch cửa (-) không vét hạch nách</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Hạch cửa (+) vét hạch nách</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Phẫu thuật vét hạch nách nếu u kích thước &gt; 2cm, hoặc khi ung thư vú đã ĐT hóa chất tiền phẫu</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Xạ trị.</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Chỉ định xạ trị sau mổ:</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Sau phẫu thuật bảo tồn tuyến vú: chỉ định xạ trị sau mổ thường quy với liều từ 45-50Gy trong 5 tuần, nâng liều tại giường u lên 10-16Gy khi BN có các yếu tố nguy cơ cao.</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lastRenderedPageBreak/>
        <w:t>Sau phẫu thuật cắt tuyến vú, chỉ định xạ trị trong những trường hợp sau:</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Hạch dương tính</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U ≥ T3</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Diện cắt dương tính.</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 Chỉ định xạ trị sau điều trị hóa chất tân bổ trợ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Độ mô học 3</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U xâm lấn mạch máu, hệ bạch huyết</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U đa ổ</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Phá vỡ mạch máu</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Tuổi trẻ</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Xạ trị hạch nách:</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Hạn chế xạ trị vào vùng hạch nách đã phẫu thuật</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Thường xạ trị vào hạch vú trong nếu khối u ở vị trí ½ trong, u ở trung tâm.</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Xạ trị hạch hạ đòn trong trường hợp hạch dương tính &gt;2mm trên giải phẫu bệnh</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Điều trị hóa chất</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Ung thư vú là một bệnh toàn thân.</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Bệnh đáp ứng với thuốc hóa chất. Gần đây đã ra đời nhiều loại thuốc mới làm thay đổi đáng kể kết quả điều trị so với trước kia.</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Chỉ định hóa chất bổ trợ sau phẫu thuật cho những trường hợp ung thư vú có nguy cơ cao tái phát, di căn:</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Hạch dương tính</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U kích thước &gt; 1,5cm</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Thụ thể nội tiết âm tính</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lastRenderedPageBreak/>
        <w:t>+ SBR II-III</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Tuổi dưới 35:</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Nếu nguy cơ tái phát cao (hạch dương tính), sử dụng đa hóa trị liệu anthracycline phối hợp với taxane và Cyclophosphamide.</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Nguy cơ tái phát thấp hoặc trung bình: có thể sử dụng anthracycline kết hợp với Cyclophosphamide.</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Chỉ định điều trị hóa chất tân bổ trợ trước phẫu thuât:</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U kích thước lớn (&gt;3cm), hóa chất tân bổ trợ cho phép giảm kích thước u để có thể điều trị bảo tồn</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Ung thư vú thể viêm</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Tỉ lệ đáp ứng hoàn toàn về mô bệnh học khoảng 15%</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Điều trị nội tiết</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Là phương pháp điều trị toàn thân, chỉ định khi BN có thụ thể nội tiết dương tính (ER và hoặc PR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Đối với BN chưa mãn kinh: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Điều trị Tamoxifen 20mg/ngày trong vòng 5 năm</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Điều trị phối hợp thuốc đồng vận LH-RH nếu BN vẫn còn kinh sau điều trị hóa chất và BN trẻ tuổi</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BN đã mãn kinh: Điều trị thuốc ức chế aromatase (letrozole, anastrozole, exemestane) trong vòng ít nhất 5 năm.</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Mãn kinh có thể được chẩn đoán xác định bằng việc đo nồng độ hormone trong máu (FSH, LH, oestradiol).</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Các tác dụng phụ:</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Tamoxifen: huyết khối, dầy nội mạc tử cung lành tính, ung thư nội mạc tử cung, nóng bừng mặt, sút cân.</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lastRenderedPageBreak/>
        <w:t>+ Cần khám phụ khoa và siêu âm tiểu khung trước khi chỉ định điều trị Tamoxifen, theo dõi các bilan về chức năng gan trong quá trình điều trị</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Thuốc ức chế aromatase: sút cân, nóng bừng mặt, đau khớp, tăng cholesterol máu, loãng xương.</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 Cần đo mật độ xương trước điều trị kháng aromatase, nếu BN loãng xương (T-score &lt;2,5): chỉ định dùng biphosphonat.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Điều trị đích</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Chỉ định điều trị Trastuzumab đường tĩnh mạch khi có bộc lộ quá mức Her-2/neu (+++) trên hóa mô miễn dích (hoặc tăng khuếch đại gen trên FISH), điều trị trong vòng 1 năm.</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Không nên phối hợp với anthracyclin nếu BN có nguy cơ suy tim.</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Ung thư vú di căn</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Mục tiêu điều trị là cải thiện thời gian sống thêm toàn bộ (trung bình là 3 năm).</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Mục đích khác là tăng chất lượng cuộc sống cho bệnh nhân</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Điều trị chủ yếu là điều trị nội khoa</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Các phương pháp điều trị toàn thân ung thư vú di căn bao gồm: điều trị hóa chất, điều trị nội tiết, điều trị đích, điều trị miễn dịch, xạ trị và chăm sóc giảm nhẹ</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Việc lựa chọn phương pháp điều trị phụ thuộc vào đặc điểm mô bệnh học của khối u, các yếu tố dự đoán đáp ứng điều trị (thụ thể nội tiết ER, PR, Her-2/neu), điều trị trước đó của bệnh nhân, khả năng dung nạp thuốc, cơ quan di căn ung thư...</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Điều trị hóa chất</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Lựa chọn loại hóa chất nào phụ thuộc vào thể trạng chung của bệnh nhân, loại hóa chất BN đã được điều trị trước đó (đặc biệt trong trường hợp BN đã được điều trị HC tân bổ trợ), khoảng thời gian bệnh tái phát...</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Một số loại hóa chất thường được sử dụng: anthracyclin, taxane, vinorelbin, cyclophosphamid, 5-FU, methotrexat, capecitabin.</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Có thể sử dụng đơn hóa trị liêuh hoặc đa hóa trị liệu</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lastRenderedPageBreak/>
        <w:t>Điều trị nội tiết</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Chỉ định khi bệnh nhân có thụ thể nội tiết dương tính</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BN chưa mãn kinh: có thể sử dụng Tamoxifen, chất đồng vận LH-RH và các progestatif</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BN đã mãn kinh: điều trị bằng thuốc ức chế aromatase</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BN ung thư vú di căn vẫn có chỉ định điều trị nội tiết nếu không có di căn nội tạng như gan, não..</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Điều trị đích</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Her-2/neu là receptor màng tế bào cho phép tê bào ung thư tăng sinh nếu nó có bộc lộ quá mức receptor này</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Herceptin (trastuzumab) là kháng thể đơn dòng ức chế receptor này</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Có thể được sử dụng trong ung thư vú di căn nếu khối u có bộc lộ quá mức Her-2/neu (+++) trên HMMD hoặc tăng khuếch đại gen HER2 trên FISH</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Sử dụng qua đường tĩnh mạch phối hợp với các hóa chất thường quy như taxan, capecitabin</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Tác dụng phụ chủ yếu là suy tim</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Phẫu thuật</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Ít có chỉ định ở BN ung thư vú di căn</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Cân nhắc phẫu thuật nếu di căn đơn ổ, thể trạng bệnh nhân cho phép</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Xạ trị trong ung thư vú di căn</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Hiệu quả trong điều trị chăm sóc giảm nhẹ BN đau xương do di căn</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Điều trị chăm sóc giảm nhẹ nếu có di căn não</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Trong trường hợp tổn thương di căn xa giảm nhiều sau điều trị toàn thân, có thể điều trị u vú nguyên phát tại chỗ bằng tia xạ.</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Các phương pháp điều trị kèm theo</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lastRenderedPageBreak/>
        <w:t>Phát hiện và điều trị bệnh lý phối hợp</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Điều trị các tác dụng phụ của hóa chất (thuốc chống nôn, điều trị viêm loét miệng...)</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Ghi lại các vần đề phối hợp của BN, đặc biệt là tâm lý</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Giáo dục điều trị</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VII. THEO DÕI</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Theo dõi bệnh nhân ung thư vú đã điều trị cần phối hợp đa mô thức giữa các nhà lâm sàng về ung thư học, sản phụ khoa, xạ trị và nội khoa.</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Mục đích theo dõi:</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Phát hiện tái phát tại chỗ (có triệu chứng hoặc không), phát hiện di căn xa</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Phát hiện các tác dụng phụ do điều trị</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Phát hiện ung thư thứ 2</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Đưa ra kế hoạch chăm sóc bệnh nhân nếu cần thiết</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Tăng chất lượng cuộc sống</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Thời gian: khám định kỳ mỗi 2 tháng trong năm đầu tiên, mỗi 6 tháng trong các năm tiếp theo cho đến 5 năm, sau đó khám lại hàng năm.</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Khám lại bao gồm: hỏi bệnh, khám lâm sàng, các xét nghiệm chẩn đoán hình ảnh (chụp mamo tuyến vú, siêu âm tuyến vú, OB, chụp X quang tim phổi, MRI tuyến vú..), các xét nghiệm miễn dịch (CA 153)</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Theo dõi ung thư vú xâm nhập</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Khám lâm sàng mỗi 6 tháng cho đến 5 năm ở mọi lứa tuổi</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Chụp mamo tuyến vú 2 bên hàng năm: 1 năm sau lần chụp mamo đầu tiên và ít nhất 6 tháng sau xạ trị</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Chụp X quang tim phổi thẳng mỗi 6 tháng</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lastRenderedPageBreak/>
        <w:t>+ Siêu âm vùng tiểu khung hàng năm nếu BN sử dụng Tamoxifen (nguy cơ ung thư nội mạc tử cung)</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Xét nghiệm huyết học, chức năng gan, mỡ máu</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Không theo dõi CA 153 một cách thường quy.</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Theo dõi ung thư vú thể nội ống:</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Khám lâm sàng hàng năm</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Chụp mamo tuyến vú lần đầu 6 tháng sau xạ trị bổ trợ</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Chụp mamo và siêu âm tuyến vú hàng năm</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BN trẻ tuổi: theo dõi bằng lâm sàng trong vòng 5 năm đầu tiên</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BN có đột biến BRCA1/ BRCA2 hoặc BN có các yếu tố nguy cơ cao: khuyến cáo theo dõi bằng MRI vú 2 bên</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BN trẻ &lt; 40 tuổi, mô vú dày khó theo dõi trên chụp mamo và siêu âm tuyến vú, cân nhắc theo dõi bằng MRI tuyến vú.</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MỘT SỐ PHÁC ĐỒ HÓA CHẤT CHO UNG THƯ VÚ</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CÁC PHÁC ĐỒ HÓA CHẤT BỔ TRỢ</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CÁC PHÁC ĐỒ KHÔNG CHỨA TRASTUZUMAB (HER 2 ÂM TÍNH)</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Các phác đồ hoá chất bổ trợ ưa dùng</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Phác đồ TAC</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Doxorubicin 50mg/m2</w:t>
      </w:r>
      <w:r w:rsidRPr="00430B55">
        <w:rPr>
          <w:rFonts w:ascii="Times New Roman" w:hAnsi="Times New Roman" w:cs="Times New Roman"/>
          <w:sz w:val="28"/>
          <w:szCs w:val="28"/>
        </w:rPr>
        <w:tab/>
        <w:t xml:space="preserve"> tĩnh mạch ngày 1 sau đó</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Docetaxel 75mg/m2 tĩnh mạch ngày 1</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Cyclophosphamid 500mg/m2</w:t>
      </w:r>
      <w:r w:rsidRPr="00430B55">
        <w:rPr>
          <w:rFonts w:ascii="Times New Roman" w:hAnsi="Times New Roman" w:cs="Times New Roman"/>
          <w:sz w:val="28"/>
          <w:szCs w:val="28"/>
        </w:rPr>
        <w:tab/>
        <w:t xml:space="preserve"> tĩnh mạch ngày 1</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Nhắc lại mỗi đợt sau 3 tuần x 6 đợt.</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(Tất cả các chu kỳ đều dùng Filgrastim hỗ trợ)</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Phác đồ AC - Paclitaxel tuần</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lastRenderedPageBreak/>
        <w:t>Doxorubicin 60mg/m2</w:t>
      </w:r>
      <w:r w:rsidRPr="00430B55">
        <w:rPr>
          <w:rFonts w:ascii="Times New Roman" w:hAnsi="Times New Roman" w:cs="Times New Roman"/>
          <w:sz w:val="28"/>
          <w:szCs w:val="28"/>
        </w:rPr>
        <w:tab/>
        <w:t xml:space="preserve"> tĩnh mạch ngày 1</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Cyclophosphamid 600mg/m2</w:t>
      </w:r>
      <w:r w:rsidRPr="00430B55">
        <w:rPr>
          <w:rFonts w:ascii="Times New Roman" w:hAnsi="Times New Roman" w:cs="Times New Roman"/>
          <w:sz w:val="28"/>
          <w:szCs w:val="28"/>
        </w:rPr>
        <w:tab/>
        <w:t xml:space="preserve"> tĩnh mạch ngày 1,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Chu kỳ 21 ngày x 4 chu kỳ, tiếp sau đó là</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Paclitaxel 80mg/m2 tĩnh mạch (trong 1 giờ)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Chu kỳ hàng tuần x 12 tuần</w:t>
      </w:r>
    </w:p>
    <w:p w:rsidR="00430B55" w:rsidRPr="00430B55" w:rsidRDefault="00430B55" w:rsidP="00430B55">
      <w:pPr>
        <w:rPr>
          <w:rFonts w:ascii="Times New Roman" w:hAnsi="Times New Roman" w:cs="Times New Roman"/>
          <w:sz w:val="28"/>
          <w:szCs w:val="28"/>
        </w:rPr>
      </w:pP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Phác đồ TC</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Docetaxel 75mg/m2 tĩnh mạch ngày 1</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Cyclophosphamid 600mg/m2</w:t>
      </w:r>
      <w:r w:rsidRPr="00430B55">
        <w:rPr>
          <w:rFonts w:ascii="Times New Roman" w:hAnsi="Times New Roman" w:cs="Times New Roman"/>
          <w:sz w:val="28"/>
          <w:szCs w:val="28"/>
        </w:rPr>
        <w:tab/>
        <w:t xml:space="preserve"> tĩnh mạch ngày 1</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Nhắc lại mỗi đợt sau 3 tuần x 4 đợt</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Phác đồ AC</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Doxorubicin 60mg/m2</w:t>
      </w:r>
      <w:r w:rsidRPr="00430B55">
        <w:rPr>
          <w:rFonts w:ascii="Times New Roman" w:hAnsi="Times New Roman" w:cs="Times New Roman"/>
          <w:sz w:val="28"/>
          <w:szCs w:val="28"/>
        </w:rPr>
        <w:tab/>
        <w:t xml:space="preserve"> tĩnh mạch ngày 1</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Cyclophosphamid 600mg/m2</w:t>
      </w:r>
      <w:r w:rsidRPr="00430B55">
        <w:rPr>
          <w:rFonts w:ascii="Times New Roman" w:hAnsi="Times New Roman" w:cs="Times New Roman"/>
          <w:sz w:val="28"/>
          <w:szCs w:val="28"/>
        </w:rPr>
        <w:tab/>
        <w:t xml:space="preserve"> tĩnh mạch ngày 1,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Chu kỳ 21 ngày x 4 chu kỳ</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Các phác đồ hoá chất bổ trợ khác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Phác đồ CEF</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Cyclophosphamid 75mg/m2</w:t>
      </w:r>
      <w:r w:rsidRPr="00430B55">
        <w:rPr>
          <w:rFonts w:ascii="Times New Roman" w:hAnsi="Times New Roman" w:cs="Times New Roman"/>
          <w:sz w:val="28"/>
          <w:szCs w:val="28"/>
        </w:rPr>
        <w:tab/>
        <w:t>Uống ngày 1- 14</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Epirubicin 60mg/m2 tĩnh mạch ngày 1 và 8</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5-Fluorouracil</w:t>
      </w:r>
      <w:r w:rsidRPr="00430B55">
        <w:rPr>
          <w:rFonts w:ascii="Times New Roman" w:hAnsi="Times New Roman" w:cs="Times New Roman"/>
          <w:sz w:val="28"/>
          <w:szCs w:val="28"/>
        </w:rPr>
        <w:tab/>
        <w:t xml:space="preserve">500mg/m2 tĩnh mạch ngày 1 và 8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Dùng Cotrimoxazol hỗ trợ</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Chu kỳ 28 ngày x 6 chu kỳ</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Phác đồ CMF</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Cyclophosphamid 100mg/m2</w:t>
      </w:r>
      <w:r w:rsidRPr="00430B55">
        <w:rPr>
          <w:rFonts w:ascii="Times New Roman" w:hAnsi="Times New Roman" w:cs="Times New Roman"/>
          <w:sz w:val="28"/>
          <w:szCs w:val="28"/>
        </w:rPr>
        <w:tab/>
        <w:t xml:space="preserve"> Uống </w:t>
      </w:r>
      <w:r w:rsidRPr="00430B55">
        <w:rPr>
          <w:rFonts w:ascii="Times New Roman" w:hAnsi="Times New Roman" w:cs="Times New Roman"/>
          <w:sz w:val="28"/>
          <w:szCs w:val="28"/>
        </w:rPr>
        <w:tab/>
        <w:t>ngày 1- 14</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lastRenderedPageBreak/>
        <w:t>Methotrexat 40mg/m2 tĩnh mạch ngày 1 và 8</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5-Fluorouracil</w:t>
      </w:r>
      <w:r w:rsidRPr="00430B55">
        <w:rPr>
          <w:rFonts w:ascii="Times New Roman" w:hAnsi="Times New Roman" w:cs="Times New Roman"/>
          <w:sz w:val="28"/>
          <w:szCs w:val="28"/>
        </w:rPr>
        <w:tab/>
        <w:t>600mg/m2 tĩnh mạch ngày 1 và 8</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Chu kỳ 28 ngày x 6 chu kỳ</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Phác đồ FEC- T</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5-Fluorouracil 500mg/m2 tĩnh mạch ngày 1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Epirubicin 100mg/m2</w:t>
      </w:r>
      <w:r w:rsidRPr="00430B55">
        <w:rPr>
          <w:rFonts w:ascii="Times New Roman" w:hAnsi="Times New Roman" w:cs="Times New Roman"/>
          <w:sz w:val="28"/>
          <w:szCs w:val="28"/>
        </w:rPr>
        <w:tab/>
        <w:t xml:space="preserve">tĩnh mạch ngày 1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Cyclophosphamid 500mg/m2</w:t>
      </w:r>
      <w:r w:rsidRPr="00430B55">
        <w:rPr>
          <w:rFonts w:ascii="Times New Roman" w:hAnsi="Times New Roman" w:cs="Times New Roman"/>
          <w:sz w:val="28"/>
          <w:szCs w:val="28"/>
        </w:rPr>
        <w:tab/>
        <w:t xml:space="preserve"> tĩnh mạch ngày 1</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Chu kỳ 21 ngày x 3 chu kỳ, tiếp sau đó là</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Docetaxel 100mg/m2</w:t>
      </w:r>
      <w:r w:rsidRPr="00430B55">
        <w:rPr>
          <w:rFonts w:ascii="Times New Roman" w:hAnsi="Times New Roman" w:cs="Times New Roman"/>
          <w:sz w:val="28"/>
          <w:szCs w:val="28"/>
        </w:rPr>
        <w:tab/>
        <w:t>tĩnh mạch ngày 1</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Chu kỳ 21 ngày x 3 chu kỳ</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CÁC PHÁC ĐỒ CHỨA TRASTUZUMAB (HER 2 DƯƠNG TÍNH)</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Các phác đồ hoá chất bổ trợ ưa dùng</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AC - T + Trastuzumab (Doxorubicin/Cyclophosphamid tiếp sau là Paclitaxel phối hợp với Trastuzumab, nhiều cách điều trị)</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Doxorubicin 60mg/m2</w:t>
      </w:r>
      <w:r w:rsidRPr="00430B55">
        <w:rPr>
          <w:rFonts w:ascii="Times New Roman" w:hAnsi="Times New Roman" w:cs="Times New Roman"/>
          <w:sz w:val="28"/>
          <w:szCs w:val="28"/>
        </w:rPr>
        <w:tab/>
      </w:r>
      <w:r w:rsidRPr="00430B55">
        <w:rPr>
          <w:rFonts w:ascii="Times New Roman" w:hAnsi="Times New Roman" w:cs="Times New Roman"/>
          <w:sz w:val="28"/>
          <w:szCs w:val="28"/>
        </w:rPr>
        <w:tab/>
        <w:t xml:space="preserve"> tĩnh mạch ngày 1</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Cyclophosphamid 600mg/m2</w:t>
      </w:r>
      <w:r w:rsidRPr="00430B55">
        <w:rPr>
          <w:rFonts w:ascii="Times New Roman" w:hAnsi="Times New Roman" w:cs="Times New Roman"/>
          <w:sz w:val="28"/>
          <w:szCs w:val="28"/>
        </w:rPr>
        <w:tab/>
        <w:t xml:space="preserve"> tĩnh mạch ngày 1</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Chu kỳ 21 ngày x 4 chu kỳ, tiếp sau đó là</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Paclitaxel 80mg/m2 tĩnh mạch (trong 1 giờ)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Chu kỳ hàng tuần x 12 tuần, cùng với</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Trastuzumab 4mg/kg tĩnh mạch với chu kỳ đầu tiên dùng Paclitaxel</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Tiếp sau đó:</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Trastuzumab 2mg/kg tĩnh mạch hàng tuần x liên tục trong 01 năm.</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lastRenderedPageBreak/>
        <w:t xml:space="preserve">Hoặc, sau khi đã kết thúc 12 tuần Paclitaxel, Trastuzumab 6mg/kg tĩnh mạch mỗi 03 tuần x liên tục trong 01 năm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Theo dõi chức năng tim khi bắt đầu, sau 3, 6, 9 tháng.</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TCH (Docetaxel, Carboplatin, Trastuzumab)</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Docetaxel 75mg/m2 tĩnh mạch ngày 1</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Tiếp sau</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Carboplatin AUC 6 tĩnh mạch ngày 1</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Chu kỳ 21 ngày x 6 chu kỳ, cùng với</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Trastuzumab 4mg/kg tĩnh mạch Tuần 1, sau đó</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Trastuzumab 2mg/ kg tĩnh mạch x 17 tuần, sau đó</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Trastuzumab 6mg/kg tĩnh mạch mỗi 3 tuần x liên tục trong 1 năm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Theo dõi chức năng tim khi bắt đầu, sau 3, 6, 9 tháng.</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b. Các phác đồ hoá chất dùng trong ung thư vú tái phát và di căn xa</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Các phác đồ phối hợp thuốc hay dùng</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Phác đồ FEC</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Cyclophosphamid 400mg/m2</w:t>
      </w:r>
      <w:r w:rsidRPr="00430B55">
        <w:rPr>
          <w:rFonts w:ascii="Times New Roman" w:hAnsi="Times New Roman" w:cs="Times New Roman"/>
          <w:sz w:val="28"/>
          <w:szCs w:val="28"/>
        </w:rPr>
        <w:tab/>
        <w:t xml:space="preserve"> tĩnh mạch ngày 1 và 8</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Epirubicin 50mg/m2 tĩnh mạch ngày 1 và 8</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5-Fluorouracil 500mg/m2 tĩnh mạch ngày 1 và 8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Chu kỳ 28 ngày</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-Phác đồ AC</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Doxorubicin 60mg/m2</w:t>
      </w:r>
      <w:r w:rsidRPr="00430B55">
        <w:rPr>
          <w:rFonts w:ascii="Times New Roman" w:hAnsi="Times New Roman" w:cs="Times New Roman"/>
          <w:sz w:val="28"/>
          <w:szCs w:val="28"/>
        </w:rPr>
        <w:tab/>
        <w:t xml:space="preserve"> tĩnh mạch ngày 1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Cyclophosphamid 600mg/m2</w:t>
      </w:r>
      <w:r w:rsidRPr="00430B55">
        <w:rPr>
          <w:rFonts w:ascii="Times New Roman" w:hAnsi="Times New Roman" w:cs="Times New Roman"/>
          <w:sz w:val="28"/>
          <w:szCs w:val="28"/>
        </w:rPr>
        <w:tab/>
        <w:t xml:space="preserve"> tĩnh mạch ngày 1</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Chu kỳ 21 ngày</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lastRenderedPageBreak/>
        <w:t>- Phác đồ AT</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Doxorubicin 60mg/m2</w:t>
      </w:r>
      <w:r w:rsidRPr="00430B55">
        <w:rPr>
          <w:rFonts w:ascii="Times New Roman" w:hAnsi="Times New Roman" w:cs="Times New Roman"/>
          <w:sz w:val="28"/>
          <w:szCs w:val="28"/>
        </w:rPr>
        <w:tab/>
        <w:t xml:space="preserve"> tĩnh mạch ngày 1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Paclitaxel 125 - 200mg/m2 tĩnh mạch ngày 1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Chu kỳ 21 ngày</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Phác đồ CMF</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Cyclophosphamid 100mg/m2</w:t>
      </w:r>
      <w:r w:rsidRPr="00430B55">
        <w:rPr>
          <w:rFonts w:ascii="Times New Roman" w:hAnsi="Times New Roman" w:cs="Times New Roman"/>
          <w:sz w:val="28"/>
          <w:szCs w:val="28"/>
        </w:rPr>
        <w:tab/>
        <w:t xml:space="preserve"> Uống</w:t>
      </w:r>
      <w:r w:rsidRPr="00430B55">
        <w:rPr>
          <w:rFonts w:ascii="Times New Roman" w:hAnsi="Times New Roman" w:cs="Times New Roman"/>
          <w:sz w:val="28"/>
          <w:szCs w:val="28"/>
        </w:rPr>
        <w:tab/>
        <w:t>ngày 1- 14</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Methotrexat 40mg/m2 tĩnh mạch ngày 1 và 8</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5-Fluorouracil</w:t>
      </w:r>
      <w:r w:rsidRPr="00430B55">
        <w:rPr>
          <w:rFonts w:ascii="Times New Roman" w:hAnsi="Times New Roman" w:cs="Times New Roman"/>
          <w:sz w:val="28"/>
          <w:szCs w:val="28"/>
        </w:rPr>
        <w:tab/>
        <w:t>600mg/m2 tĩnh mạch ngày 1 và 8</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Chu kỳ 28 ngày</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Phác đồ Docetaxel/Capecitabin</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Docetaxel 75mg/m2 tĩnh mạch ngày 1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Capecitabin 950mg/m2 Uống x 2 lần/ngày x 14 ngày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Chu kỳ 21 ngày</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Phác đồ GT</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Paclitaxel 175mg/m2 tĩnh mạch ngày 1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Gemcitabin 1250mg/m2 tĩnh mạch ngày 1 và 8 (sau Paclitaxel)</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Chu kỳ 21 ngày</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Các phác đồ phối hợp thuốc khác</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 Phác đồ VDC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Vinorelbin (Navelbin)  25mg/m2 tĩnh mạch ngày 1, 8</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Doxorubicin 50mg/m2</w:t>
      </w:r>
      <w:r w:rsidRPr="00430B55">
        <w:rPr>
          <w:rFonts w:ascii="Times New Roman" w:hAnsi="Times New Roman" w:cs="Times New Roman"/>
          <w:sz w:val="28"/>
          <w:szCs w:val="28"/>
        </w:rPr>
        <w:tab/>
        <w:t xml:space="preserve"> tĩnh mạch ngày 1</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Nhắc lại mỗi đợt sau 21 ngày</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Các phác đồ đơn chất hay dùng</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lastRenderedPageBreak/>
        <w:t>- Anthracyclin</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Doxorubicin 60 - 75mg/m2 tĩnh mạch ngày 1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Chu kỳ 21 ngày</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Taxan</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Paclitaxel 175mg/m2 tĩnh mạch ngày 1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Chu kỳ 21 ngày</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Chống chuyển hoá</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Capecitabin 1000 - 1250mg/m2 uống x 2 lần/ngày x 14 ngày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Chu kỳ 21 ngày</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Gemcitabin 800- 1200mg/m2 tĩnh mạch ngày 1, 8, 15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Chu kỳ 28 ngày</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Ức chế vi ống</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Vinorelbin 25mg/m2 tĩnh mạch hàng tuần</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Các phác đồ phối hợp với Trastuzumab, trong trường hợp Her 2/neu dương tính</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 Phác đồ TCH hàng tuần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Paclitaxel 80mg/m2 tĩnh mạch ngày 1, 8, 15</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Carboplatin AUC 2 tĩnh mạch ngày 1, 8, 15</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Chu kỳ 28 ngày, phối hợp với</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Trastuzumab 4mg/kg tĩnh mạch tuần đầu tiên, sau đó</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Trastuzumab 2mg/kg tĩnh mạch hàng tuần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Hoặc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Trastuzumab 8mg/kg tĩnh mạch ngày 1, sau đó</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Trastuzumab 6mg/kg tĩnh mạch mỗi 3 tuần.</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lastRenderedPageBreak/>
        <w:t>Đơn chất khác + Trastuzumab</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Paclitaxel 175mg/m2 tĩnh mạch ngày 1</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Chu kỳ 21 ngày</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Hoặc</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Paclitaxel 80 - 90mg/m2 tĩnh mạch hàng tuần</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Docetaxel 80 - 100mg/m2 tĩnh mạch ngày 1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Chu kỳ 21 ngày</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Hoặc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Docetaxel 35mg/m2 tĩnh mạch hàng tuần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Trastuzumab 4mg/kg tĩnh mạch tuần đầu tiên, sau đó</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Trastuzumab 2mg/kg tĩnh mạch hàng tuần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 xml:space="preserve">Hoặc </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Trastuzumab 8mg/kg tĩnh mạch ngày 1, sau đó</w:t>
      </w:r>
    </w:p>
    <w:p w:rsidR="00430B55" w:rsidRPr="00430B55" w:rsidRDefault="00430B55" w:rsidP="00430B55">
      <w:pPr>
        <w:rPr>
          <w:rFonts w:ascii="Times New Roman" w:hAnsi="Times New Roman" w:cs="Times New Roman"/>
          <w:sz w:val="28"/>
          <w:szCs w:val="28"/>
        </w:rPr>
      </w:pPr>
      <w:r w:rsidRPr="00430B55">
        <w:rPr>
          <w:rFonts w:ascii="Times New Roman" w:hAnsi="Times New Roman" w:cs="Times New Roman"/>
          <w:sz w:val="28"/>
          <w:szCs w:val="28"/>
        </w:rPr>
        <w:t>Trastuzumab 6mg/kg tĩnh mạch mỗi 3 tuần.</w:t>
      </w:r>
    </w:p>
    <w:p w:rsidR="008E4F51" w:rsidRPr="00430B55" w:rsidRDefault="00430B55">
      <w:pPr>
        <w:rPr>
          <w:rFonts w:ascii="Times New Roman" w:hAnsi="Times New Roman" w:cs="Times New Roman"/>
          <w:sz w:val="28"/>
          <w:szCs w:val="28"/>
        </w:rPr>
      </w:pPr>
    </w:p>
    <w:sectPr w:rsidR="008E4F51" w:rsidRPr="00430B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F61"/>
    <w:rsid w:val="001B77D1"/>
    <w:rsid w:val="00430B55"/>
    <w:rsid w:val="00456685"/>
    <w:rsid w:val="006B3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4048</Words>
  <Characters>23077</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2020-12-17T15:54:00Z</dcterms:created>
  <dcterms:modified xsi:type="dcterms:W3CDTF">2020-12-17T15:54:00Z</dcterms:modified>
</cp:coreProperties>
</file>